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FD71" w14:textId="77777777" w:rsidR="00591EE8" w:rsidRDefault="00591EE8" w:rsidP="0074347B">
      <w:pPr>
        <w:jc w:val="both"/>
        <w:rPr>
          <w:rFonts w:ascii="Arial Narrow" w:hAnsi="Arial Narrow"/>
        </w:rPr>
      </w:pPr>
    </w:p>
    <w:p w14:paraId="699F21AF" w14:textId="11FAA648" w:rsidR="009C7BD3" w:rsidRDefault="000A4C1B" w:rsidP="0074347B">
      <w:pPr>
        <w:jc w:val="both"/>
        <w:rPr>
          <w:rFonts w:ascii="Arial Narrow" w:hAnsi="Arial Narrow"/>
        </w:rPr>
      </w:pPr>
      <w:r>
        <w:rPr>
          <w:rFonts w:ascii="Arial Narrow" w:hAnsi="Arial Narrow"/>
        </w:rPr>
        <w:t>Rionegro</w:t>
      </w:r>
      <w:r w:rsidRPr="00747926">
        <w:rPr>
          <w:rFonts w:ascii="Arial Narrow" w:hAnsi="Arial Narrow"/>
        </w:rPr>
        <w:t xml:space="preserve">, </w:t>
      </w:r>
      <w:r w:rsidR="006B372D">
        <w:rPr>
          <w:rFonts w:ascii="Arial Narrow" w:hAnsi="Arial Narrow"/>
        </w:rPr>
        <w:t>2</w:t>
      </w:r>
      <w:r w:rsidR="00093724">
        <w:rPr>
          <w:rFonts w:ascii="Arial Narrow" w:hAnsi="Arial Narrow"/>
        </w:rPr>
        <w:t>7</w:t>
      </w:r>
      <w:r w:rsidR="00B04561">
        <w:rPr>
          <w:rFonts w:ascii="Arial Narrow" w:hAnsi="Arial Narrow"/>
        </w:rPr>
        <w:t xml:space="preserve"> </w:t>
      </w:r>
      <w:r w:rsidR="005B7F0F">
        <w:rPr>
          <w:rFonts w:ascii="Arial Narrow" w:hAnsi="Arial Narrow"/>
        </w:rPr>
        <w:t xml:space="preserve">de </w:t>
      </w:r>
      <w:r w:rsidR="00AC08FD">
        <w:rPr>
          <w:rFonts w:ascii="Arial Narrow" w:hAnsi="Arial Narrow"/>
        </w:rPr>
        <w:t>julio 2025</w:t>
      </w:r>
    </w:p>
    <w:p w14:paraId="3FE532A9" w14:textId="38B5DDF4" w:rsidR="0074347B" w:rsidRPr="00747926" w:rsidRDefault="0074347B" w:rsidP="0074347B">
      <w:pPr>
        <w:jc w:val="both"/>
        <w:rPr>
          <w:rFonts w:ascii="Arial Narrow" w:hAnsi="Arial Narrow"/>
        </w:rPr>
      </w:pPr>
    </w:p>
    <w:p w14:paraId="56D55C41" w14:textId="6D49C7E1" w:rsidR="0074347B" w:rsidRDefault="0074347B" w:rsidP="0074347B">
      <w:pPr>
        <w:jc w:val="both"/>
        <w:rPr>
          <w:rFonts w:ascii="Arial Narrow" w:hAnsi="Arial Narrow"/>
        </w:rPr>
      </w:pPr>
    </w:p>
    <w:p w14:paraId="524101CE" w14:textId="40A450DA" w:rsidR="0074347B" w:rsidRDefault="0074347B" w:rsidP="0074347B">
      <w:pPr>
        <w:jc w:val="both"/>
        <w:rPr>
          <w:rFonts w:ascii="Arial Narrow" w:hAnsi="Arial Narrow"/>
        </w:rPr>
      </w:pPr>
    </w:p>
    <w:p w14:paraId="7ABE84EC" w14:textId="77777777" w:rsidR="00267268" w:rsidRPr="00747926" w:rsidRDefault="00267268" w:rsidP="0074347B">
      <w:pPr>
        <w:jc w:val="both"/>
        <w:rPr>
          <w:rFonts w:ascii="Arial Narrow" w:hAnsi="Arial Narrow"/>
        </w:rPr>
      </w:pPr>
    </w:p>
    <w:p w14:paraId="5A0A0EB6" w14:textId="2B21A40E" w:rsidR="00DF6715" w:rsidRPr="00DF6715" w:rsidRDefault="00DF6715" w:rsidP="0074347B">
      <w:pPr>
        <w:jc w:val="both"/>
        <w:rPr>
          <w:rFonts w:ascii="Arial Narrow" w:hAnsi="Arial Narrow"/>
          <w:sz w:val="22"/>
          <w:szCs w:val="22"/>
        </w:rPr>
      </w:pPr>
      <w:r w:rsidRPr="00DF6715">
        <w:rPr>
          <w:rFonts w:ascii="Arial Narrow" w:hAnsi="Arial Narrow"/>
          <w:sz w:val="22"/>
          <w:szCs w:val="22"/>
        </w:rPr>
        <w:t>Doctora</w:t>
      </w:r>
    </w:p>
    <w:p w14:paraId="47EBCD5B" w14:textId="4BA7ADF6" w:rsidR="0074347B" w:rsidRPr="009A3893" w:rsidRDefault="00DF6715" w:rsidP="0074347B">
      <w:pPr>
        <w:jc w:val="both"/>
        <w:rPr>
          <w:rFonts w:ascii="Arial Narrow" w:hAnsi="Arial Narrow"/>
          <w:b/>
          <w:bCs/>
          <w:sz w:val="22"/>
          <w:szCs w:val="22"/>
        </w:rPr>
      </w:pPr>
      <w:r>
        <w:rPr>
          <w:rFonts w:ascii="Arial Narrow" w:hAnsi="Arial Narrow"/>
          <w:b/>
          <w:bCs/>
          <w:sz w:val="22"/>
          <w:szCs w:val="22"/>
        </w:rPr>
        <w:t>CLAUDIA MARIA ANGARITA GÓMEZ</w:t>
      </w:r>
    </w:p>
    <w:p w14:paraId="3C320868" w14:textId="77777777" w:rsidR="0074347B" w:rsidRPr="009A3893" w:rsidRDefault="0074347B" w:rsidP="0074347B">
      <w:pPr>
        <w:jc w:val="both"/>
        <w:rPr>
          <w:rFonts w:ascii="Arial Narrow" w:hAnsi="Arial Narrow"/>
          <w:sz w:val="22"/>
          <w:szCs w:val="22"/>
        </w:rPr>
      </w:pPr>
      <w:r w:rsidRPr="009A3893">
        <w:rPr>
          <w:rFonts w:ascii="Arial Narrow" w:hAnsi="Arial Narrow"/>
          <w:sz w:val="22"/>
          <w:szCs w:val="22"/>
        </w:rPr>
        <w:t>Gerente General</w:t>
      </w:r>
    </w:p>
    <w:p w14:paraId="6DC94640" w14:textId="77777777" w:rsidR="007B4136" w:rsidRPr="009A3893" w:rsidRDefault="007B4136" w:rsidP="0074347B">
      <w:pPr>
        <w:jc w:val="both"/>
        <w:rPr>
          <w:rFonts w:ascii="Arial Narrow" w:hAnsi="Arial Narrow"/>
          <w:sz w:val="22"/>
          <w:szCs w:val="22"/>
        </w:rPr>
      </w:pPr>
    </w:p>
    <w:p w14:paraId="4D8C44B5" w14:textId="79FE47BE" w:rsidR="00267268" w:rsidRDefault="00267268" w:rsidP="001D00E6">
      <w:pPr>
        <w:spacing w:after="120" w:line="276" w:lineRule="auto"/>
        <w:ind w:left="142"/>
        <w:jc w:val="both"/>
        <w:rPr>
          <w:rFonts w:ascii="Arial Narrow" w:hAnsi="Arial Narrow"/>
          <w:b/>
          <w:spacing w:val="-1"/>
          <w:sz w:val="22"/>
          <w:szCs w:val="22"/>
          <w:lang w:val="es-ES"/>
        </w:rPr>
      </w:pPr>
    </w:p>
    <w:p w14:paraId="2B134786" w14:textId="77777777" w:rsidR="00267268" w:rsidRDefault="00267268" w:rsidP="001D00E6">
      <w:pPr>
        <w:spacing w:after="120" w:line="276" w:lineRule="auto"/>
        <w:ind w:left="142"/>
        <w:jc w:val="both"/>
        <w:rPr>
          <w:rFonts w:ascii="Arial Narrow" w:hAnsi="Arial Narrow"/>
          <w:b/>
          <w:spacing w:val="-1"/>
          <w:sz w:val="22"/>
          <w:szCs w:val="22"/>
          <w:lang w:val="es-ES"/>
        </w:rPr>
      </w:pPr>
    </w:p>
    <w:p w14:paraId="5174061E" w14:textId="6560039D" w:rsidR="001D00E6" w:rsidRPr="009A3893" w:rsidRDefault="001D00E6" w:rsidP="001D00E6">
      <w:pPr>
        <w:spacing w:after="120" w:line="276" w:lineRule="auto"/>
        <w:ind w:left="142"/>
        <w:jc w:val="both"/>
        <w:rPr>
          <w:rFonts w:ascii="Arial Narrow" w:hAnsi="Arial Narrow"/>
          <w:b/>
          <w:i/>
          <w:spacing w:val="-1"/>
          <w:sz w:val="22"/>
          <w:szCs w:val="22"/>
          <w:lang w:val="es-ES"/>
        </w:rPr>
      </w:pPr>
      <w:r w:rsidRPr="009A3893">
        <w:rPr>
          <w:rFonts w:ascii="Arial Narrow" w:hAnsi="Arial Narrow"/>
          <w:b/>
          <w:spacing w:val="-1"/>
          <w:sz w:val="22"/>
          <w:szCs w:val="22"/>
          <w:lang w:val="es-ES"/>
        </w:rPr>
        <w:t>ASUNTO</w:t>
      </w:r>
      <w:r w:rsidR="005B7F0F">
        <w:rPr>
          <w:rFonts w:ascii="Arial Narrow" w:hAnsi="Arial Narrow"/>
          <w:b/>
          <w:spacing w:val="-1"/>
          <w:sz w:val="22"/>
          <w:szCs w:val="22"/>
          <w:lang w:val="es-ES"/>
        </w:rPr>
        <w:t xml:space="preserve">: Informe </w:t>
      </w:r>
      <w:r w:rsidR="00B04561">
        <w:rPr>
          <w:rFonts w:ascii="Arial Narrow" w:hAnsi="Arial Narrow"/>
          <w:b/>
          <w:spacing w:val="-1"/>
          <w:sz w:val="22"/>
          <w:szCs w:val="22"/>
          <w:lang w:val="es-ES"/>
        </w:rPr>
        <w:t xml:space="preserve">de </w:t>
      </w:r>
      <w:r w:rsidR="009222BD">
        <w:rPr>
          <w:rFonts w:ascii="Arial Narrow" w:hAnsi="Arial Narrow"/>
          <w:b/>
          <w:spacing w:val="-1"/>
          <w:sz w:val="22"/>
          <w:szCs w:val="22"/>
          <w:lang w:val="es-ES"/>
        </w:rPr>
        <w:t xml:space="preserve">Austeridad del gasto </w:t>
      </w:r>
      <w:r w:rsidR="00B55EA6">
        <w:rPr>
          <w:rFonts w:ascii="Arial Narrow" w:hAnsi="Arial Narrow"/>
          <w:b/>
          <w:spacing w:val="-1"/>
          <w:sz w:val="22"/>
          <w:szCs w:val="22"/>
          <w:lang w:val="es-ES"/>
        </w:rPr>
        <w:t>del tercer</w:t>
      </w:r>
      <w:r w:rsidR="009222BD">
        <w:rPr>
          <w:rFonts w:ascii="Arial Narrow" w:hAnsi="Arial Narrow"/>
          <w:b/>
          <w:spacing w:val="-1"/>
          <w:sz w:val="22"/>
          <w:szCs w:val="22"/>
          <w:lang w:val="es-ES"/>
        </w:rPr>
        <w:t xml:space="preserve"> trimestre 2025/2024</w:t>
      </w:r>
      <w:r w:rsidR="00F71580">
        <w:rPr>
          <w:rFonts w:ascii="Arial Narrow" w:hAnsi="Arial Narrow"/>
          <w:b/>
          <w:spacing w:val="-1"/>
          <w:sz w:val="22"/>
          <w:szCs w:val="22"/>
          <w:lang w:val="es-ES"/>
        </w:rPr>
        <w:t xml:space="preserve"> </w:t>
      </w:r>
    </w:p>
    <w:p w14:paraId="297D11AD" w14:textId="1DABB121" w:rsidR="00267268" w:rsidRDefault="00267268" w:rsidP="001D00E6">
      <w:pPr>
        <w:spacing w:after="120" w:line="276" w:lineRule="auto"/>
        <w:ind w:left="142"/>
        <w:jc w:val="both"/>
        <w:rPr>
          <w:rFonts w:ascii="Arial Narrow" w:hAnsi="Arial Narrow"/>
          <w:spacing w:val="-1"/>
          <w:sz w:val="22"/>
          <w:szCs w:val="22"/>
          <w:lang w:val="es-ES"/>
        </w:rPr>
      </w:pPr>
    </w:p>
    <w:p w14:paraId="223D1B9D" w14:textId="77777777" w:rsidR="00267268" w:rsidRDefault="00267268" w:rsidP="001D00E6">
      <w:pPr>
        <w:spacing w:after="120" w:line="276" w:lineRule="auto"/>
        <w:ind w:left="142"/>
        <w:jc w:val="both"/>
        <w:rPr>
          <w:rFonts w:ascii="Arial Narrow" w:hAnsi="Arial Narrow"/>
          <w:spacing w:val="-1"/>
          <w:sz w:val="22"/>
          <w:szCs w:val="22"/>
          <w:lang w:val="es-ES"/>
        </w:rPr>
      </w:pPr>
    </w:p>
    <w:p w14:paraId="1BB92A87" w14:textId="544EF0B5" w:rsidR="001D00E6" w:rsidRDefault="001D00E6" w:rsidP="001D00E6">
      <w:pPr>
        <w:spacing w:after="120" w:line="276" w:lineRule="auto"/>
        <w:ind w:left="142"/>
        <w:jc w:val="both"/>
        <w:rPr>
          <w:rFonts w:ascii="Arial Narrow" w:hAnsi="Arial Narrow"/>
          <w:spacing w:val="-1"/>
          <w:sz w:val="22"/>
          <w:szCs w:val="22"/>
          <w:lang w:val="es-ES"/>
        </w:rPr>
      </w:pPr>
      <w:r w:rsidRPr="009A3893">
        <w:rPr>
          <w:rFonts w:ascii="Arial Narrow" w:hAnsi="Arial Narrow"/>
          <w:spacing w:val="-1"/>
          <w:sz w:val="22"/>
          <w:szCs w:val="22"/>
          <w:lang w:val="es-ES"/>
        </w:rPr>
        <w:t xml:space="preserve">En cumplimiento </w:t>
      </w:r>
      <w:r w:rsidR="00667EE0">
        <w:rPr>
          <w:rFonts w:ascii="Arial Narrow" w:hAnsi="Arial Narrow"/>
          <w:spacing w:val="-1"/>
          <w:sz w:val="22"/>
          <w:szCs w:val="22"/>
          <w:lang w:val="es-ES"/>
        </w:rPr>
        <w:t>de una de mis funciones</w:t>
      </w:r>
      <w:r w:rsidR="00944FFE" w:rsidRPr="009A3893">
        <w:rPr>
          <w:rFonts w:ascii="Arial Narrow" w:hAnsi="Arial Narrow"/>
          <w:spacing w:val="-1"/>
          <w:sz w:val="22"/>
          <w:szCs w:val="22"/>
          <w:lang w:val="es-ES"/>
        </w:rPr>
        <w:t>,</w:t>
      </w:r>
      <w:r w:rsidR="00667EE0">
        <w:rPr>
          <w:rFonts w:ascii="Arial Narrow" w:hAnsi="Arial Narrow"/>
          <w:spacing w:val="-1"/>
          <w:sz w:val="22"/>
          <w:szCs w:val="22"/>
          <w:lang w:val="es-ES"/>
        </w:rPr>
        <w:t xml:space="preserve"> sobre el seguimiento </w:t>
      </w:r>
      <w:r w:rsidR="00327D7B">
        <w:rPr>
          <w:rFonts w:ascii="Arial Narrow" w:hAnsi="Arial Narrow"/>
          <w:spacing w:val="-1"/>
          <w:sz w:val="22"/>
          <w:szCs w:val="22"/>
          <w:lang w:val="es-ES"/>
        </w:rPr>
        <w:t>a</w:t>
      </w:r>
      <w:r w:rsidR="00EA63DD">
        <w:rPr>
          <w:rFonts w:ascii="Arial Narrow" w:hAnsi="Arial Narrow"/>
          <w:spacing w:val="-1"/>
          <w:sz w:val="22"/>
          <w:szCs w:val="22"/>
          <w:lang w:val="es-ES"/>
        </w:rPr>
        <w:t xml:space="preserve"> la austeridad del gasto</w:t>
      </w:r>
      <w:r w:rsidR="00DF0CC6">
        <w:rPr>
          <w:rFonts w:ascii="Arial Narrow" w:hAnsi="Arial Narrow"/>
          <w:spacing w:val="-1"/>
          <w:sz w:val="22"/>
          <w:szCs w:val="22"/>
          <w:lang w:val="es-ES"/>
        </w:rPr>
        <w:t>,</w:t>
      </w:r>
      <w:r w:rsidR="004F09D9">
        <w:rPr>
          <w:rFonts w:ascii="Arial Narrow" w:hAnsi="Arial Narrow"/>
          <w:spacing w:val="-1"/>
          <w:sz w:val="22"/>
          <w:szCs w:val="22"/>
          <w:lang w:val="es-ES"/>
        </w:rPr>
        <w:t xml:space="preserve"> presento el informe del </w:t>
      </w:r>
      <w:r w:rsidR="00C07875">
        <w:rPr>
          <w:rFonts w:ascii="Arial Narrow" w:hAnsi="Arial Narrow"/>
          <w:spacing w:val="-1"/>
          <w:sz w:val="22"/>
          <w:szCs w:val="22"/>
          <w:lang w:val="es-ES"/>
        </w:rPr>
        <w:t>tercer</w:t>
      </w:r>
      <w:r w:rsidR="004F09D9">
        <w:rPr>
          <w:rFonts w:ascii="Arial Narrow" w:hAnsi="Arial Narrow"/>
          <w:spacing w:val="-1"/>
          <w:sz w:val="22"/>
          <w:szCs w:val="22"/>
          <w:lang w:val="es-ES"/>
        </w:rPr>
        <w:t xml:space="preserve"> trimestre 2025</w:t>
      </w:r>
      <w:r w:rsidR="008918D9">
        <w:rPr>
          <w:rFonts w:ascii="Arial Narrow" w:hAnsi="Arial Narrow"/>
          <w:spacing w:val="-1"/>
          <w:sz w:val="22"/>
          <w:szCs w:val="22"/>
          <w:lang w:val="es-ES"/>
        </w:rPr>
        <w:t>,</w:t>
      </w:r>
      <w:r w:rsidR="004731BE">
        <w:rPr>
          <w:rFonts w:ascii="Arial Narrow" w:hAnsi="Arial Narrow"/>
          <w:spacing w:val="-1"/>
          <w:sz w:val="22"/>
          <w:szCs w:val="22"/>
          <w:lang w:val="es-ES"/>
        </w:rPr>
        <w:t xml:space="preserve"> comparado con el </w:t>
      </w:r>
      <w:r w:rsidR="00C07875">
        <w:rPr>
          <w:rFonts w:ascii="Arial Narrow" w:hAnsi="Arial Narrow"/>
          <w:spacing w:val="-1"/>
          <w:sz w:val="22"/>
          <w:szCs w:val="22"/>
          <w:lang w:val="es-ES"/>
        </w:rPr>
        <w:t>tercer</w:t>
      </w:r>
      <w:r w:rsidR="00085A97">
        <w:rPr>
          <w:rFonts w:ascii="Arial Narrow" w:hAnsi="Arial Narrow"/>
          <w:spacing w:val="-1"/>
          <w:sz w:val="22"/>
          <w:szCs w:val="22"/>
          <w:lang w:val="es-ES"/>
        </w:rPr>
        <w:t xml:space="preserve"> trimestre</w:t>
      </w:r>
      <w:r w:rsidR="004731BE">
        <w:rPr>
          <w:rFonts w:ascii="Arial Narrow" w:hAnsi="Arial Narrow"/>
          <w:spacing w:val="-1"/>
          <w:sz w:val="22"/>
          <w:szCs w:val="22"/>
          <w:lang w:val="es-ES"/>
        </w:rPr>
        <w:t xml:space="preserve"> 202</w:t>
      </w:r>
      <w:r w:rsidR="000007B6">
        <w:rPr>
          <w:rFonts w:ascii="Arial Narrow" w:hAnsi="Arial Narrow"/>
          <w:spacing w:val="-1"/>
          <w:sz w:val="22"/>
          <w:szCs w:val="22"/>
          <w:lang w:val="es-ES"/>
        </w:rPr>
        <w:t>4</w:t>
      </w:r>
      <w:r w:rsidR="00A8157C">
        <w:rPr>
          <w:rFonts w:ascii="Arial Narrow" w:hAnsi="Arial Narrow"/>
          <w:spacing w:val="-1"/>
          <w:sz w:val="22"/>
          <w:szCs w:val="22"/>
          <w:lang w:val="es-ES"/>
        </w:rPr>
        <w:t>.</w:t>
      </w:r>
    </w:p>
    <w:p w14:paraId="46B3AC7D" w14:textId="1D592516" w:rsidR="00267268" w:rsidRDefault="00267268" w:rsidP="001D00E6">
      <w:pPr>
        <w:spacing w:after="120" w:line="276" w:lineRule="auto"/>
        <w:ind w:left="142"/>
        <w:jc w:val="both"/>
        <w:rPr>
          <w:rFonts w:ascii="Arial Narrow" w:hAnsi="Arial Narrow"/>
          <w:spacing w:val="-1"/>
          <w:sz w:val="22"/>
          <w:szCs w:val="22"/>
          <w:lang w:val="es-ES"/>
        </w:rPr>
      </w:pPr>
    </w:p>
    <w:p w14:paraId="2C417CC7" w14:textId="362AC46D" w:rsidR="001D00E6" w:rsidRDefault="001D00E6" w:rsidP="001D00E6">
      <w:pPr>
        <w:spacing w:after="120" w:line="276" w:lineRule="auto"/>
        <w:ind w:left="142"/>
        <w:jc w:val="both"/>
        <w:rPr>
          <w:rFonts w:ascii="Arial Narrow" w:hAnsi="Arial Narrow"/>
          <w:spacing w:val="-1"/>
          <w:sz w:val="22"/>
          <w:szCs w:val="22"/>
          <w:lang w:val="es-ES"/>
        </w:rPr>
      </w:pPr>
      <w:r w:rsidRPr="009A3893">
        <w:rPr>
          <w:rFonts w:ascii="Arial Narrow" w:hAnsi="Arial Narrow"/>
          <w:spacing w:val="-1"/>
          <w:sz w:val="22"/>
          <w:szCs w:val="22"/>
          <w:lang w:val="es-ES"/>
        </w:rPr>
        <w:t>A continuación, se presenta las variaciones más significativas en gastos de funcionamiento, tomando como fuente de información de este análisis los gastos causados</w:t>
      </w:r>
      <w:r w:rsidR="00467184">
        <w:rPr>
          <w:rFonts w:ascii="Arial Narrow" w:hAnsi="Arial Narrow"/>
          <w:spacing w:val="-1"/>
          <w:sz w:val="22"/>
          <w:szCs w:val="22"/>
          <w:lang w:val="es-ES"/>
        </w:rPr>
        <w:t xml:space="preserve"> y </w:t>
      </w:r>
      <w:r w:rsidR="00467184" w:rsidRPr="009A3893">
        <w:rPr>
          <w:rFonts w:ascii="Arial Narrow" w:hAnsi="Arial Narrow"/>
          <w:spacing w:val="-1"/>
          <w:sz w:val="22"/>
          <w:szCs w:val="22"/>
          <w:lang w:val="es-ES"/>
        </w:rPr>
        <w:t>registrados</w:t>
      </w:r>
      <w:r w:rsidRPr="009A3893">
        <w:rPr>
          <w:rFonts w:ascii="Arial Narrow" w:hAnsi="Arial Narrow"/>
          <w:spacing w:val="-1"/>
          <w:sz w:val="22"/>
          <w:szCs w:val="22"/>
          <w:lang w:val="es-ES"/>
        </w:rPr>
        <w:t xml:space="preserve"> en el Sistema Contable. </w:t>
      </w:r>
    </w:p>
    <w:p w14:paraId="5AF991AB" w14:textId="77777777" w:rsidR="00DC389A" w:rsidRDefault="00DC389A" w:rsidP="001D00E6">
      <w:pPr>
        <w:spacing w:after="120" w:line="276" w:lineRule="auto"/>
        <w:ind w:left="142"/>
        <w:jc w:val="both"/>
        <w:rPr>
          <w:rFonts w:ascii="Arial Narrow" w:hAnsi="Arial Narrow"/>
          <w:spacing w:val="-1"/>
          <w:sz w:val="22"/>
          <w:szCs w:val="22"/>
          <w:lang w:val="es-ES"/>
        </w:rPr>
      </w:pPr>
    </w:p>
    <w:p w14:paraId="3B011487" w14:textId="77777777" w:rsidR="00137539" w:rsidRDefault="00137539" w:rsidP="001D00E6">
      <w:pPr>
        <w:spacing w:after="120" w:line="276" w:lineRule="auto"/>
        <w:ind w:left="142"/>
        <w:jc w:val="both"/>
        <w:rPr>
          <w:rFonts w:ascii="Arial Narrow" w:hAnsi="Arial Narrow"/>
          <w:spacing w:val="-1"/>
          <w:sz w:val="22"/>
          <w:szCs w:val="22"/>
          <w:lang w:val="es-ES"/>
        </w:rPr>
      </w:pPr>
    </w:p>
    <w:p w14:paraId="696057F0" w14:textId="77777777" w:rsidR="00137539" w:rsidRDefault="00137539" w:rsidP="001D00E6">
      <w:pPr>
        <w:spacing w:after="120" w:line="276" w:lineRule="auto"/>
        <w:ind w:left="142"/>
        <w:jc w:val="both"/>
        <w:rPr>
          <w:rFonts w:ascii="Arial Narrow" w:hAnsi="Arial Narrow"/>
          <w:spacing w:val="-1"/>
          <w:sz w:val="22"/>
          <w:szCs w:val="22"/>
          <w:lang w:val="es-ES"/>
        </w:rPr>
      </w:pPr>
    </w:p>
    <w:p w14:paraId="03135EAC" w14:textId="77777777" w:rsidR="00137539" w:rsidRDefault="00137539" w:rsidP="001D00E6">
      <w:pPr>
        <w:spacing w:after="120" w:line="276" w:lineRule="auto"/>
        <w:ind w:left="142"/>
        <w:jc w:val="both"/>
        <w:rPr>
          <w:rFonts w:ascii="Arial Narrow" w:hAnsi="Arial Narrow"/>
          <w:spacing w:val="-1"/>
          <w:sz w:val="22"/>
          <w:szCs w:val="22"/>
          <w:lang w:val="es-ES"/>
        </w:rPr>
      </w:pPr>
    </w:p>
    <w:p w14:paraId="075A8AEF" w14:textId="77777777" w:rsidR="00137539" w:rsidRDefault="00137539" w:rsidP="001D00E6">
      <w:pPr>
        <w:spacing w:after="120" w:line="276" w:lineRule="auto"/>
        <w:ind w:left="142"/>
        <w:jc w:val="both"/>
        <w:rPr>
          <w:rFonts w:ascii="Arial Narrow" w:hAnsi="Arial Narrow"/>
          <w:spacing w:val="-1"/>
          <w:sz w:val="22"/>
          <w:szCs w:val="22"/>
          <w:lang w:val="es-ES"/>
        </w:rPr>
      </w:pPr>
    </w:p>
    <w:p w14:paraId="41713EDB" w14:textId="77777777" w:rsidR="00137539" w:rsidRDefault="00137539" w:rsidP="001D00E6">
      <w:pPr>
        <w:spacing w:after="120" w:line="276" w:lineRule="auto"/>
        <w:ind w:left="142"/>
        <w:jc w:val="both"/>
        <w:rPr>
          <w:rFonts w:ascii="Arial Narrow" w:hAnsi="Arial Narrow"/>
          <w:spacing w:val="-1"/>
          <w:sz w:val="22"/>
          <w:szCs w:val="22"/>
          <w:lang w:val="es-ES"/>
        </w:rPr>
      </w:pPr>
    </w:p>
    <w:p w14:paraId="7E8041D9" w14:textId="77777777" w:rsidR="00137539" w:rsidRDefault="00137539" w:rsidP="001D00E6">
      <w:pPr>
        <w:spacing w:after="120" w:line="276" w:lineRule="auto"/>
        <w:ind w:left="142"/>
        <w:jc w:val="both"/>
        <w:rPr>
          <w:rFonts w:ascii="Arial Narrow" w:hAnsi="Arial Narrow"/>
          <w:spacing w:val="-1"/>
          <w:sz w:val="22"/>
          <w:szCs w:val="22"/>
          <w:lang w:val="es-ES"/>
        </w:rPr>
      </w:pPr>
    </w:p>
    <w:p w14:paraId="3C3999B6" w14:textId="77777777" w:rsidR="00137539" w:rsidRDefault="00137539" w:rsidP="001D00E6">
      <w:pPr>
        <w:spacing w:after="120" w:line="276" w:lineRule="auto"/>
        <w:ind w:left="142"/>
        <w:jc w:val="both"/>
        <w:rPr>
          <w:rFonts w:ascii="Arial Narrow" w:hAnsi="Arial Narrow"/>
          <w:spacing w:val="-1"/>
          <w:sz w:val="22"/>
          <w:szCs w:val="22"/>
          <w:lang w:val="es-ES"/>
        </w:rPr>
      </w:pPr>
    </w:p>
    <w:p w14:paraId="5FDB3739" w14:textId="77777777" w:rsidR="00137539" w:rsidRDefault="00137539" w:rsidP="001D00E6">
      <w:pPr>
        <w:spacing w:after="120" w:line="276" w:lineRule="auto"/>
        <w:ind w:left="142"/>
        <w:jc w:val="both"/>
        <w:rPr>
          <w:rFonts w:ascii="Arial Narrow" w:hAnsi="Arial Narrow"/>
          <w:spacing w:val="-1"/>
          <w:sz w:val="22"/>
          <w:szCs w:val="22"/>
          <w:lang w:val="es-ES"/>
        </w:rPr>
      </w:pPr>
    </w:p>
    <w:p w14:paraId="445E19AD" w14:textId="77777777" w:rsidR="00137539" w:rsidRDefault="00137539" w:rsidP="001D00E6">
      <w:pPr>
        <w:spacing w:after="120" w:line="276" w:lineRule="auto"/>
        <w:ind w:left="142"/>
        <w:jc w:val="both"/>
        <w:rPr>
          <w:rFonts w:ascii="Arial Narrow" w:hAnsi="Arial Narrow"/>
          <w:spacing w:val="-1"/>
          <w:sz w:val="22"/>
          <w:szCs w:val="22"/>
          <w:lang w:val="es-ES"/>
        </w:rPr>
      </w:pPr>
    </w:p>
    <w:p w14:paraId="06064B7A" w14:textId="77777777" w:rsidR="00137539" w:rsidRDefault="00137539" w:rsidP="001D00E6">
      <w:pPr>
        <w:spacing w:after="120" w:line="276" w:lineRule="auto"/>
        <w:ind w:left="142"/>
        <w:jc w:val="both"/>
        <w:rPr>
          <w:rFonts w:ascii="Arial Narrow" w:hAnsi="Arial Narrow"/>
          <w:spacing w:val="-1"/>
          <w:sz w:val="22"/>
          <w:szCs w:val="22"/>
          <w:lang w:val="es-ES"/>
        </w:rPr>
      </w:pPr>
    </w:p>
    <w:p w14:paraId="640FB501" w14:textId="77777777" w:rsidR="00137539" w:rsidRDefault="00137539" w:rsidP="001D00E6">
      <w:pPr>
        <w:spacing w:after="120" w:line="276" w:lineRule="auto"/>
        <w:ind w:left="142"/>
        <w:jc w:val="both"/>
        <w:rPr>
          <w:rFonts w:ascii="Arial Narrow" w:hAnsi="Arial Narrow"/>
          <w:spacing w:val="-1"/>
          <w:sz w:val="22"/>
          <w:szCs w:val="22"/>
          <w:lang w:val="es-ES"/>
        </w:rPr>
      </w:pPr>
    </w:p>
    <w:p w14:paraId="0F0CAFE8" w14:textId="77777777" w:rsidR="00DC389A" w:rsidRDefault="00DC389A" w:rsidP="001D00E6">
      <w:pPr>
        <w:spacing w:after="120" w:line="276" w:lineRule="auto"/>
        <w:ind w:left="142"/>
        <w:jc w:val="both"/>
        <w:rPr>
          <w:rFonts w:ascii="Arial Narrow" w:hAnsi="Arial Narrow"/>
          <w:spacing w:val="-1"/>
          <w:sz w:val="22"/>
          <w:szCs w:val="22"/>
          <w:lang w:val="es-ES"/>
        </w:rPr>
      </w:pPr>
    </w:p>
    <w:p w14:paraId="56D11D08" w14:textId="77777777" w:rsidR="00120089" w:rsidRDefault="00120089" w:rsidP="007F4E78">
      <w:pPr>
        <w:spacing w:after="120" w:line="276" w:lineRule="auto"/>
        <w:ind w:left="142"/>
        <w:jc w:val="both"/>
        <w:rPr>
          <w:rFonts w:ascii="Arial Narrow" w:hAnsi="Arial Narrow"/>
          <w:b/>
          <w:spacing w:val="-1"/>
          <w:sz w:val="22"/>
          <w:szCs w:val="22"/>
          <w:lang w:val="es-ES"/>
        </w:rPr>
      </w:pPr>
    </w:p>
    <w:tbl>
      <w:tblPr>
        <w:tblW w:w="6980" w:type="dxa"/>
        <w:tblCellMar>
          <w:left w:w="70" w:type="dxa"/>
          <w:right w:w="70" w:type="dxa"/>
        </w:tblCellMar>
        <w:tblLook w:val="04A0" w:firstRow="1" w:lastRow="0" w:firstColumn="1" w:lastColumn="0" w:noHBand="0" w:noVBand="1"/>
      </w:tblPr>
      <w:tblGrid>
        <w:gridCol w:w="2740"/>
        <w:gridCol w:w="1480"/>
        <w:gridCol w:w="1460"/>
        <w:gridCol w:w="1300"/>
      </w:tblGrid>
      <w:tr w:rsidR="006623C5" w:rsidRPr="006623C5" w14:paraId="2CC20868" w14:textId="77777777" w:rsidTr="006623C5">
        <w:trPr>
          <w:trHeight w:val="660"/>
        </w:trPr>
        <w:tc>
          <w:tcPr>
            <w:tcW w:w="6980" w:type="dxa"/>
            <w:gridSpan w:val="4"/>
            <w:tcBorders>
              <w:top w:val="single" w:sz="8" w:space="0" w:color="auto"/>
              <w:left w:val="single" w:sz="8" w:space="0" w:color="auto"/>
              <w:bottom w:val="single" w:sz="4" w:space="0" w:color="auto"/>
              <w:right w:val="single" w:sz="8" w:space="0" w:color="000000"/>
            </w:tcBorders>
            <w:shd w:val="clear" w:color="000000" w:fill="C0C0C0"/>
            <w:hideMark/>
          </w:tcPr>
          <w:p w14:paraId="7BDB726F" w14:textId="77777777" w:rsidR="006623C5" w:rsidRPr="006623C5" w:rsidRDefault="006623C5" w:rsidP="006623C5">
            <w:pPr>
              <w:jc w:val="center"/>
              <w:rPr>
                <w:rFonts w:ascii="Arial" w:eastAsia="Times New Roman" w:hAnsi="Arial" w:cs="Arial"/>
                <w:b/>
                <w:bCs/>
                <w:color w:val="000000"/>
                <w:sz w:val="20"/>
                <w:szCs w:val="20"/>
                <w:lang w:val="es-ES" w:eastAsia="es-ES"/>
              </w:rPr>
            </w:pPr>
            <w:r w:rsidRPr="006623C5">
              <w:rPr>
                <w:rFonts w:ascii="Arial" w:eastAsia="Times New Roman" w:hAnsi="Arial" w:cs="Arial"/>
                <w:b/>
                <w:bCs/>
                <w:color w:val="000000"/>
                <w:sz w:val="20"/>
                <w:szCs w:val="20"/>
                <w:lang w:val="es-ES" w:eastAsia="es-ES"/>
              </w:rPr>
              <w:lastRenderedPageBreak/>
              <w:t>INFORME DE MEDIDAS DE AUSTERIDAD Y EFICIENCIA DEL GASTO PÚBLICO</w:t>
            </w:r>
          </w:p>
        </w:tc>
      </w:tr>
      <w:tr w:rsidR="006623C5" w:rsidRPr="006623C5" w14:paraId="08084DE3" w14:textId="77777777" w:rsidTr="006623C5">
        <w:trPr>
          <w:trHeight w:val="1005"/>
        </w:trPr>
        <w:tc>
          <w:tcPr>
            <w:tcW w:w="6980" w:type="dxa"/>
            <w:gridSpan w:val="4"/>
            <w:tcBorders>
              <w:top w:val="single" w:sz="4" w:space="0" w:color="auto"/>
              <w:left w:val="single" w:sz="8" w:space="0" w:color="auto"/>
              <w:bottom w:val="single" w:sz="4" w:space="0" w:color="auto"/>
              <w:right w:val="single" w:sz="8" w:space="0" w:color="000000"/>
            </w:tcBorders>
            <w:shd w:val="clear" w:color="000000" w:fill="C0C0C0"/>
            <w:hideMark/>
          </w:tcPr>
          <w:p w14:paraId="2AC94FD4" w14:textId="77777777" w:rsidR="006623C5" w:rsidRPr="006623C5" w:rsidRDefault="006623C5" w:rsidP="006623C5">
            <w:pPr>
              <w:jc w:val="center"/>
              <w:rPr>
                <w:rFonts w:ascii="Arial" w:eastAsia="Times New Roman" w:hAnsi="Arial" w:cs="Arial"/>
                <w:b/>
                <w:bCs/>
                <w:color w:val="000000"/>
                <w:sz w:val="20"/>
                <w:szCs w:val="20"/>
                <w:lang w:val="es-ES" w:eastAsia="es-ES"/>
              </w:rPr>
            </w:pPr>
            <w:r w:rsidRPr="006623C5">
              <w:rPr>
                <w:rFonts w:ascii="Arial" w:eastAsia="Times New Roman" w:hAnsi="Arial" w:cs="Arial"/>
                <w:b/>
                <w:bCs/>
                <w:color w:val="000000"/>
                <w:sz w:val="20"/>
                <w:szCs w:val="20"/>
                <w:lang w:val="es-ES" w:eastAsia="es-ES"/>
              </w:rPr>
              <w:t>GASTOS DE FUNCIONAMIENTO TERCER TRIMESTRE  2025/2024</w:t>
            </w:r>
          </w:p>
        </w:tc>
      </w:tr>
      <w:tr w:rsidR="006623C5" w:rsidRPr="006623C5" w14:paraId="29DAB6B6" w14:textId="77777777" w:rsidTr="006623C5">
        <w:trPr>
          <w:trHeight w:val="900"/>
        </w:trPr>
        <w:tc>
          <w:tcPr>
            <w:tcW w:w="2740" w:type="dxa"/>
            <w:tcBorders>
              <w:top w:val="nil"/>
              <w:left w:val="single" w:sz="8" w:space="0" w:color="auto"/>
              <w:bottom w:val="single" w:sz="4" w:space="0" w:color="auto"/>
              <w:right w:val="single" w:sz="4" w:space="0" w:color="auto"/>
            </w:tcBorders>
            <w:noWrap/>
            <w:vAlign w:val="bottom"/>
            <w:hideMark/>
          </w:tcPr>
          <w:p w14:paraId="41A0B716" w14:textId="77777777" w:rsidR="006623C5" w:rsidRPr="006623C5" w:rsidRDefault="006623C5" w:rsidP="006623C5">
            <w:pPr>
              <w:jc w:val="center"/>
              <w:rPr>
                <w:rFonts w:ascii="Calibri" w:eastAsia="Times New Roman" w:hAnsi="Calibri" w:cs="Calibri"/>
                <w:b/>
                <w:bCs/>
                <w:color w:val="000000"/>
                <w:sz w:val="22"/>
                <w:szCs w:val="22"/>
                <w:lang w:val="es-ES" w:eastAsia="es-ES"/>
              </w:rPr>
            </w:pPr>
            <w:r w:rsidRPr="006623C5">
              <w:rPr>
                <w:rFonts w:ascii="Calibri" w:eastAsia="Times New Roman" w:hAnsi="Calibri" w:cs="Calibri"/>
                <w:b/>
                <w:bCs/>
                <w:color w:val="000000"/>
                <w:sz w:val="22"/>
                <w:szCs w:val="22"/>
                <w:lang w:val="es-ES" w:eastAsia="es-ES"/>
              </w:rPr>
              <w:t>NOMBRE</w:t>
            </w:r>
          </w:p>
        </w:tc>
        <w:tc>
          <w:tcPr>
            <w:tcW w:w="1480" w:type="dxa"/>
            <w:tcBorders>
              <w:top w:val="nil"/>
              <w:left w:val="nil"/>
              <w:bottom w:val="single" w:sz="4" w:space="0" w:color="auto"/>
              <w:right w:val="single" w:sz="4" w:space="0" w:color="auto"/>
            </w:tcBorders>
            <w:vAlign w:val="bottom"/>
            <w:hideMark/>
          </w:tcPr>
          <w:p w14:paraId="4D9C949E" w14:textId="77777777" w:rsidR="006623C5" w:rsidRPr="006623C5" w:rsidRDefault="006623C5" w:rsidP="006623C5">
            <w:pPr>
              <w:jc w:val="center"/>
              <w:rPr>
                <w:rFonts w:ascii="Calibri" w:eastAsia="Times New Roman" w:hAnsi="Calibri" w:cs="Calibri"/>
                <w:b/>
                <w:bCs/>
                <w:color w:val="000000"/>
                <w:sz w:val="22"/>
                <w:szCs w:val="22"/>
                <w:lang w:val="es-ES" w:eastAsia="es-ES"/>
              </w:rPr>
            </w:pPr>
            <w:r w:rsidRPr="006623C5">
              <w:rPr>
                <w:rFonts w:ascii="Calibri" w:eastAsia="Times New Roman" w:hAnsi="Calibri" w:cs="Calibri"/>
                <w:b/>
                <w:bCs/>
                <w:color w:val="000000"/>
                <w:sz w:val="22"/>
                <w:szCs w:val="22"/>
                <w:lang w:val="es-ES" w:eastAsia="es-ES"/>
              </w:rPr>
              <w:t xml:space="preserve"> TERCER TRIMESTRE 2024 </w:t>
            </w:r>
          </w:p>
        </w:tc>
        <w:tc>
          <w:tcPr>
            <w:tcW w:w="1460" w:type="dxa"/>
            <w:tcBorders>
              <w:top w:val="nil"/>
              <w:left w:val="nil"/>
              <w:bottom w:val="single" w:sz="4" w:space="0" w:color="auto"/>
              <w:right w:val="single" w:sz="4" w:space="0" w:color="auto"/>
            </w:tcBorders>
            <w:vAlign w:val="bottom"/>
            <w:hideMark/>
          </w:tcPr>
          <w:p w14:paraId="0AFE5222" w14:textId="77777777" w:rsidR="006623C5" w:rsidRPr="006623C5" w:rsidRDefault="006623C5" w:rsidP="006623C5">
            <w:pPr>
              <w:jc w:val="center"/>
              <w:rPr>
                <w:rFonts w:ascii="Calibri" w:eastAsia="Times New Roman" w:hAnsi="Calibri" w:cs="Calibri"/>
                <w:b/>
                <w:bCs/>
                <w:color w:val="000000"/>
                <w:sz w:val="22"/>
                <w:szCs w:val="22"/>
                <w:lang w:val="es-ES" w:eastAsia="es-ES"/>
              </w:rPr>
            </w:pPr>
            <w:r w:rsidRPr="006623C5">
              <w:rPr>
                <w:rFonts w:ascii="Calibri" w:eastAsia="Times New Roman" w:hAnsi="Calibri" w:cs="Calibri"/>
                <w:b/>
                <w:bCs/>
                <w:color w:val="000000"/>
                <w:sz w:val="22"/>
                <w:szCs w:val="22"/>
                <w:lang w:val="es-ES" w:eastAsia="es-ES"/>
              </w:rPr>
              <w:t xml:space="preserve"> TERCER TRIMESTRE  2025 </w:t>
            </w:r>
          </w:p>
        </w:tc>
        <w:tc>
          <w:tcPr>
            <w:tcW w:w="1300" w:type="dxa"/>
            <w:tcBorders>
              <w:top w:val="nil"/>
              <w:left w:val="nil"/>
              <w:bottom w:val="single" w:sz="4" w:space="0" w:color="auto"/>
              <w:right w:val="single" w:sz="8" w:space="0" w:color="auto"/>
            </w:tcBorders>
            <w:noWrap/>
            <w:vAlign w:val="bottom"/>
            <w:hideMark/>
          </w:tcPr>
          <w:p w14:paraId="59A1A8EF" w14:textId="77777777" w:rsidR="006623C5" w:rsidRPr="006623C5" w:rsidRDefault="006623C5" w:rsidP="006623C5">
            <w:pPr>
              <w:jc w:val="center"/>
              <w:rPr>
                <w:rFonts w:ascii="Calibri" w:eastAsia="Times New Roman" w:hAnsi="Calibri" w:cs="Calibri"/>
                <w:b/>
                <w:bCs/>
                <w:color w:val="000000"/>
                <w:sz w:val="22"/>
                <w:szCs w:val="22"/>
                <w:lang w:val="es-ES" w:eastAsia="es-ES"/>
              </w:rPr>
            </w:pPr>
            <w:r w:rsidRPr="006623C5">
              <w:rPr>
                <w:rFonts w:ascii="Calibri" w:eastAsia="Times New Roman" w:hAnsi="Calibri" w:cs="Calibri"/>
                <w:b/>
                <w:bCs/>
                <w:color w:val="000000"/>
                <w:sz w:val="22"/>
                <w:szCs w:val="22"/>
                <w:lang w:val="es-ES" w:eastAsia="es-ES"/>
              </w:rPr>
              <w:t xml:space="preserve"> % </w:t>
            </w:r>
          </w:p>
        </w:tc>
      </w:tr>
      <w:tr w:rsidR="006623C5" w:rsidRPr="006623C5" w14:paraId="1726516A" w14:textId="77777777" w:rsidTr="006623C5">
        <w:trPr>
          <w:trHeight w:val="600"/>
        </w:trPr>
        <w:tc>
          <w:tcPr>
            <w:tcW w:w="2740" w:type="dxa"/>
            <w:tcBorders>
              <w:top w:val="nil"/>
              <w:left w:val="single" w:sz="8" w:space="0" w:color="auto"/>
              <w:bottom w:val="single" w:sz="4" w:space="0" w:color="auto"/>
              <w:right w:val="single" w:sz="4" w:space="0" w:color="auto"/>
            </w:tcBorders>
            <w:vAlign w:val="bottom"/>
            <w:hideMark/>
          </w:tcPr>
          <w:p w14:paraId="46A02E72" w14:textId="77777777" w:rsidR="006623C5" w:rsidRPr="006623C5" w:rsidRDefault="006623C5" w:rsidP="006623C5">
            <w:pPr>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SUELDOS DE PERSONAL DE NÓMINA</w:t>
            </w:r>
          </w:p>
        </w:tc>
        <w:tc>
          <w:tcPr>
            <w:tcW w:w="1480" w:type="dxa"/>
            <w:tcBorders>
              <w:top w:val="nil"/>
              <w:left w:val="nil"/>
              <w:bottom w:val="single" w:sz="4" w:space="0" w:color="auto"/>
              <w:right w:val="single" w:sz="4" w:space="0" w:color="auto"/>
            </w:tcBorders>
            <w:noWrap/>
            <w:vAlign w:val="bottom"/>
            <w:hideMark/>
          </w:tcPr>
          <w:p w14:paraId="0A22AC73" w14:textId="77777777" w:rsidR="006623C5" w:rsidRPr="006623C5" w:rsidRDefault="006623C5" w:rsidP="006623C5">
            <w:pPr>
              <w:jc w:val="right"/>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163,202,741</w:t>
            </w:r>
          </w:p>
        </w:tc>
        <w:tc>
          <w:tcPr>
            <w:tcW w:w="1460" w:type="dxa"/>
            <w:tcBorders>
              <w:top w:val="nil"/>
              <w:left w:val="nil"/>
              <w:bottom w:val="single" w:sz="4" w:space="0" w:color="auto"/>
              <w:right w:val="single" w:sz="4" w:space="0" w:color="auto"/>
            </w:tcBorders>
            <w:noWrap/>
            <w:vAlign w:val="bottom"/>
            <w:hideMark/>
          </w:tcPr>
          <w:p w14:paraId="6F3E73DE" w14:textId="77777777" w:rsidR="006623C5" w:rsidRPr="006623C5" w:rsidRDefault="006623C5" w:rsidP="006623C5">
            <w:pPr>
              <w:jc w:val="right"/>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443,544,528</w:t>
            </w:r>
          </w:p>
        </w:tc>
        <w:tc>
          <w:tcPr>
            <w:tcW w:w="1300" w:type="dxa"/>
            <w:tcBorders>
              <w:top w:val="nil"/>
              <w:left w:val="nil"/>
              <w:bottom w:val="single" w:sz="4" w:space="0" w:color="auto"/>
              <w:right w:val="single" w:sz="8" w:space="0" w:color="auto"/>
            </w:tcBorders>
            <w:noWrap/>
            <w:vAlign w:val="bottom"/>
            <w:hideMark/>
          </w:tcPr>
          <w:p w14:paraId="49EFFF6A" w14:textId="77777777" w:rsidR="006623C5" w:rsidRPr="006623C5" w:rsidRDefault="006623C5" w:rsidP="006623C5">
            <w:pPr>
              <w:jc w:val="right"/>
              <w:rPr>
                <w:rFonts w:ascii="Calibri" w:eastAsia="Times New Roman" w:hAnsi="Calibri" w:cs="Calibri"/>
                <w:color w:val="000000"/>
                <w:sz w:val="22"/>
                <w:szCs w:val="22"/>
                <w:lang w:val="es-ES" w:eastAsia="es-ES"/>
              </w:rPr>
            </w:pPr>
            <w:r w:rsidRPr="006623C5">
              <w:rPr>
                <w:rFonts w:ascii="Calibri" w:eastAsia="Times New Roman" w:hAnsi="Calibri" w:cs="Calibri"/>
                <w:color w:val="000000"/>
                <w:sz w:val="22"/>
                <w:szCs w:val="22"/>
                <w:lang w:val="es-ES" w:eastAsia="es-ES"/>
              </w:rPr>
              <w:t>172%</w:t>
            </w:r>
          </w:p>
        </w:tc>
      </w:tr>
      <w:tr w:rsidR="006623C5" w:rsidRPr="006623C5" w14:paraId="4718F9CD" w14:textId="77777777" w:rsidTr="006623C5">
        <w:trPr>
          <w:trHeight w:val="600"/>
        </w:trPr>
        <w:tc>
          <w:tcPr>
            <w:tcW w:w="2740" w:type="dxa"/>
            <w:tcBorders>
              <w:top w:val="nil"/>
              <w:left w:val="single" w:sz="8" w:space="0" w:color="auto"/>
              <w:bottom w:val="single" w:sz="4" w:space="0" w:color="auto"/>
              <w:right w:val="single" w:sz="4" w:space="0" w:color="auto"/>
            </w:tcBorders>
            <w:vAlign w:val="bottom"/>
            <w:hideMark/>
          </w:tcPr>
          <w:p w14:paraId="340E030F" w14:textId="77777777" w:rsidR="006623C5" w:rsidRPr="006623C5" w:rsidRDefault="006623C5" w:rsidP="006623C5">
            <w:pPr>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GASTOS DE REPRESENTACIÒN</w:t>
            </w:r>
          </w:p>
        </w:tc>
        <w:tc>
          <w:tcPr>
            <w:tcW w:w="1480" w:type="dxa"/>
            <w:tcBorders>
              <w:top w:val="nil"/>
              <w:left w:val="nil"/>
              <w:bottom w:val="single" w:sz="4" w:space="0" w:color="auto"/>
              <w:right w:val="single" w:sz="4" w:space="0" w:color="auto"/>
            </w:tcBorders>
            <w:noWrap/>
            <w:vAlign w:val="bottom"/>
            <w:hideMark/>
          </w:tcPr>
          <w:p w14:paraId="18982F18" w14:textId="77777777" w:rsidR="006623C5" w:rsidRPr="006623C5" w:rsidRDefault="006623C5" w:rsidP="006623C5">
            <w:pPr>
              <w:jc w:val="right"/>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0</w:t>
            </w:r>
          </w:p>
        </w:tc>
        <w:tc>
          <w:tcPr>
            <w:tcW w:w="1460" w:type="dxa"/>
            <w:tcBorders>
              <w:top w:val="nil"/>
              <w:left w:val="nil"/>
              <w:bottom w:val="single" w:sz="4" w:space="0" w:color="auto"/>
              <w:right w:val="single" w:sz="4" w:space="0" w:color="auto"/>
            </w:tcBorders>
            <w:noWrap/>
            <w:vAlign w:val="bottom"/>
            <w:hideMark/>
          </w:tcPr>
          <w:p w14:paraId="21535AA0" w14:textId="77777777" w:rsidR="006623C5" w:rsidRPr="006623C5" w:rsidRDefault="006623C5" w:rsidP="006623C5">
            <w:pPr>
              <w:jc w:val="right"/>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0</w:t>
            </w:r>
          </w:p>
        </w:tc>
        <w:tc>
          <w:tcPr>
            <w:tcW w:w="1300" w:type="dxa"/>
            <w:tcBorders>
              <w:top w:val="nil"/>
              <w:left w:val="nil"/>
              <w:bottom w:val="single" w:sz="4" w:space="0" w:color="auto"/>
              <w:right w:val="single" w:sz="8" w:space="0" w:color="auto"/>
            </w:tcBorders>
            <w:noWrap/>
            <w:vAlign w:val="bottom"/>
            <w:hideMark/>
          </w:tcPr>
          <w:p w14:paraId="15C87ABA" w14:textId="77777777" w:rsidR="006623C5" w:rsidRPr="006623C5" w:rsidRDefault="006623C5" w:rsidP="006623C5">
            <w:pPr>
              <w:jc w:val="center"/>
              <w:rPr>
                <w:rFonts w:ascii="Calibri" w:eastAsia="Times New Roman" w:hAnsi="Calibri" w:cs="Calibri"/>
                <w:color w:val="000000"/>
                <w:sz w:val="22"/>
                <w:szCs w:val="22"/>
                <w:lang w:val="es-ES" w:eastAsia="es-ES"/>
              </w:rPr>
            </w:pPr>
            <w:r w:rsidRPr="006623C5">
              <w:rPr>
                <w:rFonts w:ascii="Calibri" w:eastAsia="Times New Roman" w:hAnsi="Calibri" w:cs="Calibri"/>
                <w:color w:val="000000"/>
                <w:sz w:val="22"/>
                <w:szCs w:val="22"/>
                <w:lang w:val="es-ES" w:eastAsia="es-ES"/>
              </w:rPr>
              <w:t>#¡DIV/0!</w:t>
            </w:r>
          </w:p>
        </w:tc>
      </w:tr>
      <w:tr w:rsidR="006623C5" w:rsidRPr="006623C5" w14:paraId="086E1613" w14:textId="77777777" w:rsidTr="006623C5">
        <w:trPr>
          <w:trHeight w:val="600"/>
        </w:trPr>
        <w:tc>
          <w:tcPr>
            <w:tcW w:w="2740" w:type="dxa"/>
            <w:tcBorders>
              <w:top w:val="nil"/>
              <w:left w:val="single" w:sz="8" w:space="0" w:color="auto"/>
              <w:bottom w:val="single" w:sz="4" w:space="0" w:color="auto"/>
              <w:right w:val="single" w:sz="4" w:space="0" w:color="auto"/>
            </w:tcBorders>
            <w:vAlign w:val="bottom"/>
            <w:hideMark/>
          </w:tcPr>
          <w:p w14:paraId="24340B36" w14:textId="77777777" w:rsidR="006623C5" w:rsidRPr="006623C5" w:rsidRDefault="006623C5" w:rsidP="006623C5">
            <w:pPr>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VIATICOS Y GASTOS DE VIAJE</w:t>
            </w:r>
          </w:p>
        </w:tc>
        <w:tc>
          <w:tcPr>
            <w:tcW w:w="1480" w:type="dxa"/>
            <w:tcBorders>
              <w:top w:val="nil"/>
              <w:left w:val="nil"/>
              <w:bottom w:val="single" w:sz="4" w:space="0" w:color="auto"/>
              <w:right w:val="single" w:sz="4" w:space="0" w:color="auto"/>
            </w:tcBorders>
            <w:noWrap/>
            <w:vAlign w:val="bottom"/>
            <w:hideMark/>
          </w:tcPr>
          <w:p w14:paraId="7B9ED302" w14:textId="77777777" w:rsidR="006623C5" w:rsidRPr="006623C5" w:rsidRDefault="006623C5" w:rsidP="006623C5">
            <w:pPr>
              <w:jc w:val="right"/>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0</w:t>
            </w:r>
          </w:p>
        </w:tc>
        <w:tc>
          <w:tcPr>
            <w:tcW w:w="1460" w:type="dxa"/>
            <w:tcBorders>
              <w:top w:val="nil"/>
              <w:left w:val="nil"/>
              <w:bottom w:val="single" w:sz="4" w:space="0" w:color="auto"/>
              <w:right w:val="single" w:sz="4" w:space="0" w:color="auto"/>
            </w:tcBorders>
            <w:noWrap/>
            <w:vAlign w:val="bottom"/>
            <w:hideMark/>
          </w:tcPr>
          <w:p w14:paraId="1711DD01" w14:textId="77777777" w:rsidR="006623C5" w:rsidRPr="006623C5" w:rsidRDefault="006623C5" w:rsidP="006623C5">
            <w:pPr>
              <w:jc w:val="right"/>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0</w:t>
            </w:r>
          </w:p>
        </w:tc>
        <w:tc>
          <w:tcPr>
            <w:tcW w:w="1300" w:type="dxa"/>
            <w:tcBorders>
              <w:top w:val="nil"/>
              <w:left w:val="nil"/>
              <w:bottom w:val="single" w:sz="4" w:space="0" w:color="auto"/>
              <w:right w:val="single" w:sz="8" w:space="0" w:color="auto"/>
            </w:tcBorders>
            <w:noWrap/>
            <w:vAlign w:val="bottom"/>
            <w:hideMark/>
          </w:tcPr>
          <w:p w14:paraId="23582AC9" w14:textId="77777777" w:rsidR="006623C5" w:rsidRPr="006623C5" w:rsidRDefault="006623C5" w:rsidP="006623C5">
            <w:pPr>
              <w:jc w:val="center"/>
              <w:rPr>
                <w:rFonts w:ascii="Calibri" w:eastAsia="Times New Roman" w:hAnsi="Calibri" w:cs="Calibri"/>
                <w:color w:val="000000"/>
                <w:sz w:val="22"/>
                <w:szCs w:val="22"/>
                <w:lang w:val="es-ES" w:eastAsia="es-ES"/>
              </w:rPr>
            </w:pPr>
            <w:r w:rsidRPr="006623C5">
              <w:rPr>
                <w:rFonts w:ascii="Calibri" w:eastAsia="Times New Roman" w:hAnsi="Calibri" w:cs="Calibri"/>
                <w:color w:val="000000"/>
                <w:sz w:val="22"/>
                <w:szCs w:val="22"/>
                <w:lang w:val="es-ES" w:eastAsia="es-ES"/>
              </w:rPr>
              <w:t>#¡DIV/0!</w:t>
            </w:r>
          </w:p>
        </w:tc>
      </w:tr>
      <w:tr w:rsidR="006623C5" w:rsidRPr="006623C5" w14:paraId="2379CBF0" w14:textId="77777777" w:rsidTr="006623C5">
        <w:trPr>
          <w:trHeight w:val="300"/>
        </w:trPr>
        <w:tc>
          <w:tcPr>
            <w:tcW w:w="2740" w:type="dxa"/>
            <w:tcBorders>
              <w:top w:val="nil"/>
              <w:left w:val="single" w:sz="8" w:space="0" w:color="auto"/>
              <w:bottom w:val="single" w:sz="4" w:space="0" w:color="auto"/>
              <w:right w:val="single" w:sz="4" w:space="0" w:color="auto"/>
            </w:tcBorders>
            <w:vAlign w:val="bottom"/>
            <w:hideMark/>
          </w:tcPr>
          <w:p w14:paraId="02517B19" w14:textId="77777777" w:rsidR="006623C5" w:rsidRPr="006623C5" w:rsidRDefault="006623C5" w:rsidP="006623C5">
            <w:pPr>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MATERIALES Y SUMINISTROS</w:t>
            </w:r>
          </w:p>
        </w:tc>
        <w:tc>
          <w:tcPr>
            <w:tcW w:w="1480" w:type="dxa"/>
            <w:tcBorders>
              <w:top w:val="nil"/>
              <w:left w:val="nil"/>
              <w:bottom w:val="single" w:sz="4" w:space="0" w:color="auto"/>
              <w:right w:val="single" w:sz="4" w:space="0" w:color="auto"/>
            </w:tcBorders>
            <w:noWrap/>
            <w:vAlign w:val="bottom"/>
            <w:hideMark/>
          </w:tcPr>
          <w:p w14:paraId="0AEC174C" w14:textId="77777777" w:rsidR="006623C5" w:rsidRPr="006623C5" w:rsidRDefault="006623C5" w:rsidP="006623C5">
            <w:pPr>
              <w:jc w:val="right"/>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0</w:t>
            </w:r>
          </w:p>
        </w:tc>
        <w:tc>
          <w:tcPr>
            <w:tcW w:w="1460" w:type="dxa"/>
            <w:tcBorders>
              <w:top w:val="nil"/>
              <w:left w:val="nil"/>
              <w:bottom w:val="single" w:sz="4" w:space="0" w:color="auto"/>
              <w:right w:val="single" w:sz="4" w:space="0" w:color="auto"/>
            </w:tcBorders>
            <w:noWrap/>
            <w:vAlign w:val="bottom"/>
            <w:hideMark/>
          </w:tcPr>
          <w:p w14:paraId="1E466E58" w14:textId="77777777" w:rsidR="006623C5" w:rsidRPr="006623C5" w:rsidRDefault="006623C5" w:rsidP="006623C5">
            <w:pPr>
              <w:jc w:val="right"/>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0</w:t>
            </w:r>
          </w:p>
        </w:tc>
        <w:tc>
          <w:tcPr>
            <w:tcW w:w="1300" w:type="dxa"/>
            <w:tcBorders>
              <w:top w:val="nil"/>
              <w:left w:val="nil"/>
              <w:bottom w:val="single" w:sz="4" w:space="0" w:color="auto"/>
              <w:right w:val="single" w:sz="8" w:space="0" w:color="auto"/>
            </w:tcBorders>
            <w:noWrap/>
            <w:vAlign w:val="bottom"/>
            <w:hideMark/>
          </w:tcPr>
          <w:p w14:paraId="0F03E521" w14:textId="77777777" w:rsidR="006623C5" w:rsidRPr="006623C5" w:rsidRDefault="006623C5" w:rsidP="006623C5">
            <w:pPr>
              <w:jc w:val="center"/>
              <w:rPr>
                <w:rFonts w:ascii="Calibri" w:eastAsia="Times New Roman" w:hAnsi="Calibri" w:cs="Calibri"/>
                <w:color w:val="000000"/>
                <w:sz w:val="22"/>
                <w:szCs w:val="22"/>
                <w:lang w:val="es-ES" w:eastAsia="es-ES"/>
              </w:rPr>
            </w:pPr>
            <w:r w:rsidRPr="006623C5">
              <w:rPr>
                <w:rFonts w:ascii="Calibri" w:eastAsia="Times New Roman" w:hAnsi="Calibri" w:cs="Calibri"/>
                <w:color w:val="000000"/>
                <w:sz w:val="22"/>
                <w:szCs w:val="22"/>
                <w:lang w:val="es-ES" w:eastAsia="es-ES"/>
              </w:rPr>
              <w:t>#¡DIV/0!</w:t>
            </w:r>
          </w:p>
        </w:tc>
      </w:tr>
      <w:tr w:rsidR="006623C5" w:rsidRPr="006623C5" w14:paraId="6E6A9CD3" w14:textId="77777777" w:rsidTr="006623C5">
        <w:trPr>
          <w:trHeight w:val="900"/>
        </w:trPr>
        <w:tc>
          <w:tcPr>
            <w:tcW w:w="2740" w:type="dxa"/>
            <w:tcBorders>
              <w:top w:val="nil"/>
              <w:left w:val="single" w:sz="8" w:space="0" w:color="auto"/>
              <w:bottom w:val="single" w:sz="4" w:space="0" w:color="auto"/>
              <w:right w:val="single" w:sz="4" w:space="0" w:color="auto"/>
            </w:tcBorders>
            <w:vAlign w:val="bottom"/>
            <w:hideMark/>
          </w:tcPr>
          <w:p w14:paraId="12918713" w14:textId="4D6C0042" w:rsidR="006623C5" w:rsidRPr="006623C5" w:rsidRDefault="006623C5" w:rsidP="006623C5">
            <w:pPr>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 xml:space="preserve">MANTENIMIENTO DE </w:t>
            </w:r>
            <w:r w:rsidR="006E752E" w:rsidRPr="006623C5">
              <w:rPr>
                <w:rFonts w:ascii="Calibri" w:eastAsia="Times New Roman" w:hAnsi="Calibri" w:cs="Calibri"/>
                <w:sz w:val="22"/>
                <w:szCs w:val="22"/>
                <w:lang w:val="es-ES" w:eastAsia="es-ES"/>
              </w:rPr>
              <w:t>VEHICULOS Y</w:t>
            </w:r>
            <w:r w:rsidRPr="006623C5">
              <w:rPr>
                <w:rFonts w:ascii="Calibri" w:eastAsia="Times New Roman" w:hAnsi="Calibri" w:cs="Calibri"/>
                <w:sz w:val="22"/>
                <w:szCs w:val="22"/>
                <w:lang w:val="es-ES" w:eastAsia="es-ES"/>
              </w:rPr>
              <w:t xml:space="preserve"> EDIFICACIONES</w:t>
            </w:r>
          </w:p>
        </w:tc>
        <w:tc>
          <w:tcPr>
            <w:tcW w:w="1480" w:type="dxa"/>
            <w:tcBorders>
              <w:top w:val="nil"/>
              <w:left w:val="nil"/>
              <w:bottom w:val="single" w:sz="4" w:space="0" w:color="auto"/>
              <w:right w:val="single" w:sz="4" w:space="0" w:color="auto"/>
            </w:tcBorders>
            <w:noWrap/>
            <w:vAlign w:val="bottom"/>
            <w:hideMark/>
          </w:tcPr>
          <w:p w14:paraId="73F7ADAB" w14:textId="77777777" w:rsidR="006623C5" w:rsidRPr="006623C5" w:rsidRDefault="006623C5" w:rsidP="006623C5">
            <w:pPr>
              <w:jc w:val="right"/>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0</w:t>
            </w:r>
          </w:p>
        </w:tc>
        <w:tc>
          <w:tcPr>
            <w:tcW w:w="1460" w:type="dxa"/>
            <w:tcBorders>
              <w:top w:val="nil"/>
              <w:left w:val="nil"/>
              <w:bottom w:val="single" w:sz="4" w:space="0" w:color="auto"/>
              <w:right w:val="single" w:sz="4" w:space="0" w:color="auto"/>
            </w:tcBorders>
            <w:noWrap/>
            <w:vAlign w:val="bottom"/>
            <w:hideMark/>
          </w:tcPr>
          <w:p w14:paraId="7FCE5F6F" w14:textId="77777777" w:rsidR="006623C5" w:rsidRPr="006623C5" w:rsidRDefault="006623C5" w:rsidP="006623C5">
            <w:pPr>
              <w:jc w:val="right"/>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38,892,853</w:t>
            </w:r>
          </w:p>
        </w:tc>
        <w:tc>
          <w:tcPr>
            <w:tcW w:w="1300" w:type="dxa"/>
            <w:tcBorders>
              <w:top w:val="nil"/>
              <w:left w:val="nil"/>
              <w:bottom w:val="single" w:sz="4" w:space="0" w:color="auto"/>
              <w:right w:val="single" w:sz="8" w:space="0" w:color="auto"/>
            </w:tcBorders>
            <w:noWrap/>
            <w:vAlign w:val="bottom"/>
            <w:hideMark/>
          </w:tcPr>
          <w:p w14:paraId="2B30138C" w14:textId="77777777" w:rsidR="006623C5" w:rsidRPr="006623C5" w:rsidRDefault="006623C5" w:rsidP="006623C5">
            <w:pPr>
              <w:jc w:val="center"/>
              <w:rPr>
                <w:rFonts w:ascii="Calibri" w:eastAsia="Times New Roman" w:hAnsi="Calibri" w:cs="Calibri"/>
                <w:color w:val="000000"/>
                <w:sz w:val="22"/>
                <w:szCs w:val="22"/>
                <w:lang w:val="es-ES" w:eastAsia="es-ES"/>
              </w:rPr>
            </w:pPr>
            <w:r w:rsidRPr="006623C5">
              <w:rPr>
                <w:rFonts w:ascii="Calibri" w:eastAsia="Times New Roman" w:hAnsi="Calibri" w:cs="Calibri"/>
                <w:color w:val="000000"/>
                <w:sz w:val="22"/>
                <w:szCs w:val="22"/>
                <w:lang w:val="es-ES" w:eastAsia="es-ES"/>
              </w:rPr>
              <w:t>#¡DIV/0!</w:t>
            </w:r>
          </w:p>
        </w:tc>
      </w:tr>
      <w:tr w:rsidR="006623C5" w:rsidRPr="006623C5" w14:paraId="00B220AD" w14:textId="77777777" w:rsidTr="006623C5">
        <w:trPr>
          <w:trHeight w:val="1200"/>
        </w:trPr>
        <w:tc>
          <w:tcPr>
            <w:tcW w:w="2740" w:type="dxa"/>
            <w:tcBorders>
              <w:top w:val="nil"/>
              <w:left w:val="single" w:sz="8" w:space="0" w:color="auto"/>
              <w:bottom w:val="single" w:sz="4" w:space="0" w:color="auto"/>
              <w:right w:val="single" w:sz="4" w:space="0" w:color="auto"/>
            </w:tcBorders>
            <w:vAlign w:val="bottom"/>
            <w:hideMark/>
          </w:tcPr>
          <w:p w14:paraId="0B0F48FC" w14:textId="5BF617BB" w:rsidR="006623C5" w:rsidRPr="006623C5" w:rsidRDefault="006623C5" w:rsidP="006623C5">
            <w:pPr>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 xml:space="preserve">SERVICIOS </w:t>
            </w:r>
            <w:r w:rsidR="00F02426" w:rsidRPr="006623C5">
              <w:rPr>
                <w:rFonts w:ascii="Calibri" w:eastAsia="Times New Roman" w:hAnsi="Calibri" w:cs="Calibri"/>
                <w:sz w:val="22"/>
                <w:szCs w:val="22"/>
                <w:lang w:val="es-ES" w:eastAsia="es-ES"/>
              </w:rPr>
              <w:t>PUBLICOS (</w:t>
            </w:r>
            <w:r w:rsidR="006E752E" w:rsidRPr="006623C5">
              <w:rPr>
                <w:rFonts w:ascii="Calibri" w:eastAsia="Times New Roman" w:hAnsi="Calibri" w:cs="Calibri"/>
                <w:sz w:val="22"/>
                <w:szCs w:val="22"/>
                <w:lang w:val="es-ES" w:eastAsia="es-ES"/>
              </w:rPr>
              <w:t>TELEFONIA</w:t>
            </w:r>
            <w:r w:rsidRPr="006623C5">
              <w:rPr>
                <w:rFonts w:ascii="Calibri" w:eastAsia="Times New Roman" w:hAnsi="Calibri" w:cs="Calibri"/>
                <w:sz w:val="22"/>
                <w:szCs w:val="22"/>
                <w:lang w:val="es-ES" w:eastAsia="es-ES"/>
              </w:rPr>
              <w:t xml:space="preserve"> MOVIL, INTERNET,ACUEDUCTO, ENERGIA)</w:t>
            </w:r>
          </w:p>
        </w:tc>
        <w:tc>
          <w:tcPr>
            <w:tcW w:w="1480" w:type="dxa"/>
            <w:tcBorders>
              <w:top w:val="nil"/>
              <w:left w:val="nil"/>
              <w:bottom w:val="single" w:sz="4" w:space="0" w:color="auto"/>
              <w:right w:val="single" w:sz="4" w:space="0" w:color="auto"/>
            </w:tcBorders>
            <w:noWrap/>
            <w:vAlign w:val="bottom"/>
            <w:hideMark/>
          </w:tcPr>
          <w:p w14:paraId="646FA89D" w14:textId="77777777" w:rsidR="006623C5" w:rsidRPr="006623C5" w:rsidRDefault="006623C5" w:rsidP="006623C5">
            <w:pPr>
              <w:jc w:val="right"/>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15,794,141</w:t>
            </w:r>
          </w:p>
        </w:tc>
        <w:tc>
          <w:tcPr>
            <w:tcW w:w="1460" w:type="dxa"/>
            <w:tcBorders>
              <w:top w:val="nil"/>
              <w:left w:val="nil"/>
              <w:bottom w:val="single" w:sz="4" w:space="0" w:color="auto"/>
              <w:right w:val="single" w:sz="4" w:space="0" w:color="auto"/>
            </w:tcBorders>
            <w:noWrap/>
            <w:vAlign w:val="bottom"/>
            <w:hideMark/>
          </w:tcPr>
          <w:p w14:paraId="2AA46A4D" w14:textId="77777777" w:rsidR="006623C5" w:rsidRPr="006623C5" w:rsidRDefault="006623C5" w:rsidP="006623C5">
            <w:pPr>
              <w:jc w:val="right"/>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17,987,583</w:t>
            </w:r>
          </w:p>
        </w:tc>
        <w:tc>
          <w:tcPr>
            <w:tcW w:w="1300" w:type="dxa"/>
            <w:tcBorders>
              <w:top w:val="nil"/>
              <w:left w:val="nil"/>
              <w:bottom w:val="single" w:sz="4" w:space="0" w:color="auto"/>
              <w:right w:val="single" w:sz="8" w:space="0" w:color="auto"/>
            </w:tcBorders>
            <w:noWrap/>
            <w:vAlign w:val="bottom"/>
            <w:hideMark/>
          </w:tcPr>
          <w:p w14:paraId="008EC898" w14:textId="77777777" w:rsidR="006623C5" w:rsidRPr="006623C5" w:rsidRDefault="006623C5" w:rsidP="006623C5">
            <w:pPr>
              <w:jc w:val="right"/>
              <w:rPr>
                <w:rFonts w:ascii="Calibri" w:eastAsia="Times New Roman" w:hAnsi="Calibri" w:cs="Calibri"/>
                <w:color w:val="000000"/>
                <w:sz w:val="22"/>
                <w:szCs w:val="22"/>
                <w:lang w:val="es-ES" w:eastAsia="es-ES"/>
              </w:rPr>
            </w:pPr>
            <w:r w:rsidRPr="006623C5">
              <w:rPr>
                <w:rFonts w:ascii="Calibri" w:eastAsia="Times New Roman" w:hAnsi="Calibri" w:cs="Calibri"/>
                <w:color w:val="000000"/>
                <w:sz w:val="22"/>
                <w:szCs w:val="22"/>
                <w:lang w:val="es-ES" w:eastAsia="es-ES"/>
              </w:rPr>
              <w:t>14%</w:t>
            </w:r>
          </w:p>
        </w:tc>
      </w:tr>
      <w:tr w:rsidR="006623C5" w:rsidRPr="006623C5" w14:paraId="2AE80CF5" w14:textId="77777777" w:rsidTr="006623C5">
        <w:trPr>
          <w:trHeight w:val="600"/>
        </w:trPr>
        <w:tc>
          <w:tcPr>
            <w:tcW w:w="2740" w:type="dxa"/>
            <w:tcBorders>
              <w:top w:val="nil"/>
              <w:left w:val="single" w:sz="8" w:space="0" w:color="auto"/>
              <w:bottom w:val="single" w:sz="4" w:space="0" w:color="auto"/>
              <w:right w:val="single" w:sz="4" w:space="0" w:color="auto"/>
            </w:tcBorders>
            <w:vAlign w:val="bottom"/>
            <w:hideMark/>
          </w:tcPr>
          <w:p w14:paraId="4C9C3BD4" w14:textId="77777777" w:rsidR="006623C5" w:rsidRPr="006623C5" w:rsidRDefault="006623C5" w:rsidP="006623C5">
            <w:pPr>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IMPRESOS, PUBLICIDAD Y PUBLICACIONES</w:t>
            </w:r>
          </w:p>
        </w:tc>
        <w:tc>
          <w:tcPr>
            <w:tcW w:w="1480" w:type="dxa"/>
            <w:tcBorders>
              <w:top w:val="nil"/>
              <w:left w:val="nil"/>
              <w:bottom w:val="single" w:sz="4" w:space="0" w:color="auto"/>
              <w:right w:val="single" w:sz="4" w:space="0" w:color="auto"/>
            </w:tcBorders>
            <w:noWrap/>
            <w:vAlign w:val="bottom"/>
            <w:hideMark/>
          </w:tcPr>
          <w:p w14:paraId="20B01516" w14:textId="77777777" w:rsidR="006623C5" w:rsidRPr="006623C5" w:rsidRDefault="006623C5" w:rsidP="006623C5">
            <w:pPr>
              <w:jc w:val="right"/>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0</w:t>
            </w:r>
          </w:p>
        </w:tc>
        <w:tc>
          <w:tcPr>
            <w:tcW w:w="1460" w:type="dxa"/>
            <w:tcBorders>
              <w:top w:val="nil"/>
              <w:left w:val="nil"/>
              <w:bottom w:val="single" w:sz="4" w:space="0" w:color="auto"/>
              <w:right w:val="single" w:sz="4" w:space="0" w:color="auto"/>
            </w:tcBorders>
            <w:noWrap/>
            <w:vAlign w:val="bottom"/>
            <w:hideMark/>
          </w:tcPr>
          <w:p w14:paraId="1E25A8CA" w14:textId="77777777" w:rsidR="006623C5" w:rsidRPr="006623C5" w:rsidRDefault="006623C5" w:rsidP="006623C5">
            <w:pPr>
              <w:jc w:val="right"/>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12,981,234</w:t>
            </w:r>
          </w:p>
        </w:tc>
        <w:tc>
          <w:tcPr>
            <w:tcW w:w="1300" w:type="dxa"/>
            <w:tcBorders>
              <w:top w:val="nil"/>
              <w:left w:val="nil"/>
              <w:bottom w:val="single" w:sz="4" w:space="0" w:color="auto"/>
              <w:right w:val="single" w:sz="8" w:space="0" w:color="auto"/>
            </w:tcBorders>
            <w:noWrap/>
            <w:vAlign w:val="bottom"/>
            <w:hideMark/>
          </w:tcPr>
          <w:p w14:paraId="25C8FEEA" w14:textId="77777777" w:rsidR="006623C5" w:rsidRPr="006623C5" w:rsidRDefault="006623C5" w:rsidP="006623C5">
            <w:pPr>
              <w:jc w:val="center"/>
              <w:rPr>
                <w:rFonts w:ascii="Calibri" w:eastAsia="Times New Roman" w:hAnsi="Calibri" w:cs="Calibri"/>
                <w:color w:val="000000"/>
                <w:sz w:val="22"/>
                <w:szCs w:val="22"/>
                <w:lang w:val="es-ES" w:eastAsia="es-ES"/>
              </w:rPr>
            </w:pPr>
            <w:r w:rsidRPr="006623C5">
              <w:rPr>
                <w:rFonts w:ascii="Calibri" w:eastAsia="Times New Roman" w:hAnsi="Calibri" w:cs="Calibri"/>
                <w:color w:val="000000"/>
                <w:sz w:val="22"/>
                <w:szCs w:val="22"/>
                <w:lang w:val="es-ES" w:eastAsia="es-ES"/>
              </w:rPr>
              <w:t>#¡DIV/0!</w:t>
            </w:r>
          </w:p>
        </w:tc>
      </w:tr>
      <w:tr w:rsidR="006623C5" w:rsidRPr="006623C5" w14:paraId="6F5759B6" w14:textId="77777777" w:rsidTr="006623C5">
        <w:trPr>
          <w:trHeight w:val="300"/>
        </w:trPr>
        <w:tc>
          <w:tcPr>
            <w:tcW w:w="2740" w:type="dxa"/>
            <w:tcBorders>
              <w:top w:val="nil"/>
              <w:left w:val="single" w:sz="8" w:space="0" w:color="auto"/>
              <w:bottom w:val="single" w:sz="4" w:space="0" w:color="auto"/>
              <w:right w:val="single" w:sz="4" w:space="0" w:color="auto"/>
            </w:tcBorders>
            <w:vAlign w:val="bottom"/>
            <w:hideMark/>
          </w:tcPr>
          <w:p w14:paraId="2345E474" w14:textId="77777777" w:rsidR="006623C5" w:rsidRPr="006623C5" w:rsidRDefault="006623C5" w:rsidP="006623C5">
            <w:pPr>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SUMINISTRO DE PAPELERIA</w:t>
            </w:r>
          </w:p>
        </w:tc>
        <w:tc>
          <w:tcPr>
            <w:tcW w:w="1480" w:type="dxa"/>
            <w:tcBorders>
              <w:top w:val="nil"/>
              <w:left w:val="nil"/>
              <w:bottom w:val="single" w:sz="4" w:space="0" w:color="auto"/>
              <w:right w:val="single" w:sz="4" w:space="0" w:color="auto"/>
            </w:tcBorders>
            <w:noWrap/>
            <w:vAlign w:val="bottom"/>
            <w:hideMark/>
          </w:tcPr>
          <w:p w14:paraId="4B59FAA0" w14:textId="77777777" w:rsidR="006623C5" w:rsidRPr="006623C5" w:rsidRDefault="006623C5" w:rsidP="006623C5">
            <w:pPr>
              <w:jc w:val="right"/>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4,315,364</w:t>
            </w:r>
          </w:p>
        </w:tc>
        <w:tc>
          <w:tcPr>
            <w:tcW w:w="1460" w:type="dxa"/>
            <w:tcBorders>
              <w:top w:val="nil"/>
              <w:left w:val="nil"/>
              <w:bottom w:val="single" w:sz="4" w:space="0" w:color="auto"/>
              <w:right w:val="single" w:sz="4" w:space="0" w:color="auto"/>
            </w:tcBorders>
            <w:noWrap/>
            <w:vAlign w:val="bottom"/>
            <w:hideMark/>
          </w:tcPr>
          <w:p w14:paraId="55F0A6B6" w14:textId="77777777" w:rsidR="006623C5" w:rsidRPr="006623C5" w:rsidRDefault="006623C5" w:rsidP="006623C5">
            <w:pPr>
              <w:jc w:val="right"/>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2,446,453</w:t>
            </w:r>
          </w:p>
        </w:tc>
        <w:tc>
          <w:tcPr>
            <w:tcW w:w="1300" w:type="dxa"/>
            <w:tcBorders>
              <w:top w:val="nil"/>
              <w:left w:val="nil"/>
              <w:bottom w:val="single" w:sz="4" w:space="0" w:color="auto"/>
              <w:right w:val="single" w:sz="8" w:space="0" w:color="auto"/>
            </w:tcBorders>
            <w:noWrap/>
            <w:vAlign w:val="bottom"/>
            <w:hideMark/>
          </w:tcPr>
          <w:p w14:paraId="0C38851D" w14:textId="77777777" w:rsidR="006623C5" w:rsidRPr="006623C5" w:rsidRDefault="006623C5" w:rsidP="006623C5">
            <w:pPr>
              <w:jc w:val="right"/>
              <w:rPr>
                <w:rFonts w:ascii="Calibri" w:eastAsia="Times New Roman" w:hAnsi="Calibri" w:cs="Calibri"/>
                <w:color w:val="000000"/>
                <w:sz w:val="22"/>
                <w:szCs w:val="22"/>
                <w:lang w:val="es-ES" w:eastAsia="es-ES"/>
              </w:rPr>
            </w:pPr>
            <w:r w:rsidRPr="006623C5">
              <w:rPr>
                <w:rFonts w:ascii="Calibri" w:eastAsia="Times New Roman" w:hAnsi="Calibri" w:cs="Calibri"/>
                <w:color w:val="000000"/>
                <w:sz w:val="22"/>
                <w:szCs w:val="22"/>
                <w:lang w:val="es-ES" w:eastAsia="es-ES"/>
              </w:rPr>
              <w:t>-43%</w:t>
            </w:r>
          </w:p>
        </w:tc>
      </w:tr>
      <w:tr w:rsidR="006623C5" w:rsidRPr="006623C5" w14:paraId="299A6561" w14:textId="77777777" w:rsidTr="006623C5">
        <w:trPr>
          <w:trHeight w:val="600"/>
        </w:trPr>
        <w:tc>
          <w:tcPr>
            <w:tcW w:w="2740" w:type="dxa"/>
            <w:tcBorders>
              <w:top w:val="nil"/>
              <w:left w:val="single" w:sz="8" w:space="0" w:color="auto"/>
              <w:bottom w:val="single" w:sz="4" w:space="0" w:color="auto"/>
              <w:right w:val="single" w:sz="4" w:space="0" w:color="auto"/>
            </w:tcBorders>
            <w:vAlign w:val="bottom"/>
            <w:hideMark/>
          </w:tcPr>
          <w:p w14:paraId="05199375" w14:textId="77777777" w:rsidR="006623C5" w:rsidRPr="006623C5" w:rsidRDefault="006623C5" w:rsidP="006623C5">
            <w:pPr>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COMBUSTIBLE Y LUBRICANTES</w:t>
            </w:r>
          </w:p>
        </w:tc>
        <w:tc>
          <w:tcPr>
            <w:tcW w:w="1480" w:type="dxa"/>
            <w:tcBorders>
              <w:top w:val="nil"/>
              <w:left w:val="nil"/>
              <w:bottom w:val="single" w:sz="4" w:space="0" w:color="auto"/>
              <w:right w:val="single" w:sz="4" w:space="0" w:color="auto"/>
            </w:tcBorders>
            <w:noWrap/>
            <w:vAlign w:val="bottom"/>
            <w:hideMark/>
          </w:tcPr>
          <w:p w14:paraId="413A9831" w14:textId="77777777" w:rsidR="006623C5" w:rsidRPr="006623C5" w:rsidRDefault="006623C5" w:rsidP="006623C5">
            <w:pPr>
              <w:jc w:val="right"/>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5,645,683</w:t>
            </w:r>
          </w:p>
        </w:tc>
        <w:tc>
          <w:tcPr>
            <w:tcW w:w="1460" w:type="dxa"/>
            <w:tcBorders>
              <w:top w:val="nil"/>
              <w:left w:val="nil"/>
              <w:bottom w:val="single" w:sz="4" w:space="0" w:color="auto"/>
              <w:right w:val="single" w:sz="4" w:space="0" w:color="auto"/>
            </w:tcBorders>
            <w:noWrap/>
            <w:vAlign w:val="bottom"/>
            <w:hideMark/>
          </w:tcPr>
          <w:p w14:paraId="7FED5B7A" w14:textId="77777777" w:rsidR="006623C5" w:rsidRPr="006623C5" w:rsidRDefault="006623C5" w:rsidP="006623C5">
            <w:pPr>
              <w:jc w:val="right"/>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9,317,921</w:t>
            </w:r>
          </w:p>
        </w:tc>
        <w:tc>
          <w:tcPr>
            <w:tcW w:w="1300" w:type="dxa"/>
            <w:tcBorders>
              <w:top w:val="nil"/>
              <w:left w:val="nil"/>
              <w:bottom w:val="single" w:sz="4" w:space="0" w:color="auto"/>
              <w:right w:val="single" w:sz="8" w:space="0" w:color="auto"/>
            </w:tcBorders>
            <w:noWrap/>
            <w:vAlign w:val="bottom"/>
            <w:hideMark/>
          </w:tcPr>
          <w:p w14:paraId="4FDB42B1" w14:textId="77777777" w:rsidR="006623C5" w:rsidRPr="006623C5" w:rsidRDefault="006623C5" w:rsidP="006623C5">
            <w:pPr>
              <w:jc w:val="right"/>
              <w:rPr>
                <w:rFonts w:ascii="Calibri" w:eastAsia="Times New Roman" w:hAnsi="Calibri" w:cs="Calibri"/>
                <w:color w:val="000000"/>
                <w:sz w:val="22"/>
                <w:szCs w:val="22"/>
                <w:lang w:val="es-ES" w:eastAsia="es-ES"/>
              </w:rPr>
            </w:pPr>
            <w:r w:rsidRPr="006623C5">
              <w:rPr>
                <w:rFonts w:ascii="Calibri" w:eastAsia="Times New Roman" w:hAnsi="Calibri" w:cs="Calibri"/>
                <w:color w:val="000000"/>
                <w:sz w:val="22"/>
                <w:szCs w:val="22"/>
                <w:lang w:val="es-ES" w:eastAsia="es-ES"/>
              </w:rPr>
              <w:t>65%</w:t>
            </w:r>
          </w:p>
        </w:tc>
      </w:tr>
      <w:tr w:rsidR="006623C5" w:rsidRPr="006623C5" w14:paraId="0FD70C4D" w14:textId="77777777" w:rsidTr="006623C5">
        <w:trPr>
          <w:trHeight w:val="600"/>
        </w:trPr>
        <w:tc>
          <w:tcPr>
            <w:tcW w:w="2740" w:type="dxa"/>
            <w:tcBorders>
              <w:top w:val="nil"/>
              <w:left w:val="single" w:sz="8" w:space="0" w:color="auto"/>
              <w:bottom w:val="single" w:sz="4" w:space="0" w:color="auto"/>
              <w:right w:val="single" w:sz="4" w:space="0" w:color="auto"/>
            </w:tcBorders>
            <w:vAlign w:val="bottom"/>
            <w:hideMark/>
          </w:tcPr>
          <w:p w14:paraId="2330155A" w14:textId="77777777" w:rsidR="006623C5" w:rsidRPr="006623C5" w:rsidRDefault="006623C5" w:rsidP="006623C5">
            <w:pPr>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SERVICIOS DE ASEO Y CAFETERIA</w:t>
            </w:r>
          </w:p>
        </w:tc>
        <w:tc>
          <w:tcPr>
            <w:tcW w:w="1480" w:type="dxa"/>
            <w:tcBorders>
              <w:top w:val="nil"/>
              <w:left w:val="nil"/>
              <w:bottom w:val="single" w:sz="4" w:space="0" w:color="auto"/>
              <w:right w:val="single" w:sz="4" w:space="0" w:color="auto"/>
            </w:tcBorders>
            <w:noWrap/>
            <w:vAlign w:val="bottom"/>
            <w:hideMark/>
          </w:tcPr>
          <w:p w14:paraId="06AFF2BE" w14:textId="77777777" w:rsidR="006623C5" w:rsidRPr="006623C5" w:rsidRDefault="006623C5" w:rsidP="006623C5">
            <w:pPr>
              <w:jc w:val="right"/>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4,420,029</w:t>
            </w:r>
          </w:p>
        </w:tc>
        <w:tc>
          <w:tcPr>
            <w:tcW w:w="1460" w:type="dxa"/>
            <w:tcBorders>
              <w:top w:val="nil"/>
              <w:left w:val="nil"/>
              <w:bottom w:val="single" w:sz="4" w:space="0" w:color="auto"/>
              <w:right w:val="single" w:sz="4" w:space="0" w:color="auto"/>
            </w:tcBorders>
            <w:noWrap/>
            <w:vAlign w:val="bottom"/>
            <w:hideMark/>
          </w:tcPr>
          <w:p w14:paraId="27001CB8" w14:textId="77777777" w:rsidR="006623C5" w:rsidRPr="006623C5" w:rsidRDefault="006623C5" w:rsidP="006623C5">
            <w:pPr>
              <w:jc w:val="right"/>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5,303,067</w:t>
            </w:r>
          </w:p>
        </w:tc>
        <w:tc>
          <w:tcPr>
            <w:tcW w:w="1300" w:type="dxa"/>
            <w:tcBorders>
              <w:top w:val="nil"/>
              <w:left w:val="nil"/>
              <w:bottom w:val="single" w:sz="4" w:space="0" w:color="auto"/>
              <w:right w:val="single" w:sz="8" w:space="0" w:color="auto"/>
            </w:tcBorders>
            <w:noWrap/>
            <w:vAlign w:val="bottom"/>
            <w:hideMark/>
          </w:tcPr>
          <w:p w14:paraId="4A5A9370" w14:textId="77777777" w:rsidR="006623C5" w:rsidRPr="006623C5" w:rsidRDefault="006623C5" w:rsidP="006623C5">
            <w:pPr>
              <w:jc w:val="right"/>
              <w:rPr>
                <w:rFonts w:ascii="Calibri" w:eastAsia="Times New Roman" w:hAnsi="Calibri" w:cs="Calibri"/>
                <w:color w:val="000000"/>
                <w:sz w:val="22"/>
                <w:szCs w:val="22"/>
                <w:lang w:val="es-ES" w:eastAsia="es-ES"/>
              </w:rPr>
            </w:pPr>
            <w:r w:rsidRPr="006623C5">
              <w:rPr>
                <w:rFonts w:ascii="Calibri" w:eastAsia="Times New Roman" w:hAnsi="Calibri" w:cs="Calibri"/>
                <w:color w:val="000000"/>
                <w:sz w:val="22"/>
                <w:szCs w:val="22"/>
                <w:lang w:val="es-ES" w:eastAsia="es-ES"/>
              </w:rPr>
              <w:t>20%</w:t>
            </w:r>
          </w:p>
        </w:tc>
      </w:tr>
      <w:tr w:rsidR="006623C5" w:rsidRPr="006623C5" w14:paraId="29F89686" w14:textId="77777777" w:rsidTr="006623C5">
        <w:trPr>
          <w:trHeight w:val="600"/>
        </w:trPr>
        <w:tc>
          <w:tcPr>
            <w:tcW w:w="2740" w:type="dxa"/>
            <w:tcBorders>
              <w:top w:val="nil"/>
              <w:left w:val="single" w:sz="8" w:space="0" w:color="auto"/>
              <w:bottom w:val="single" w:sz="4" w:space="0" w:color="auto"/>
              <w:right w:val="single" w:sz="4" w:space="0" w:color="auto"/>
            </w:tcBorders>
            <w:vAlign w:val="bottom"/>
            <w:hideMark/>
          </w:tcPr>
          <w:p w14:paraId="47FFACEE" w14:textId="79D2E8F2" w:rsidR="006623C5" w:rsidRPr="006623C5" w:rsidRDefault="00EF40D3" w:rsidP="006623C5">
            <w:pPr>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HONORARIOS Y</w:t>
            </w:r>
            <w:r w:rsidR="006623C5" w:rsidRPr="006623C5">
              <w:rPr>
                <w:rFonts w:ascii="Calibri" w:eastAsia="Times New Roman" w:hAnsi="Calibri" w:cs="Calibri"/>
                <w:sz w:val="22"/>
                <w:szCs w:val="22"/>
                <w:lang w:val="es-ES" w:eastAsia="es-ES"/>
              </w:rPr>
              <w:t xml:space="preserve"> SERVICIOS TÉCNICOS</w:t>
            </w:r>
          </w:p>
        </w:tc>
        <w:tc>
          <w:tcPr>
            <w:tcW w:w="1480" w:type="dxa"/>
            <w:tcBorders>
              <w:top w:val="nil"/>
              <w:left w:val="nil"/>
              <w:bottom w:val="single" w:sz="4" w:space="0" w:color="auto"/>
              <w:right w:val="single" w:sz="4" w:space="0" w:color="auto"/>
            </w:tcBorders>
            <w:noWrap/>
            <w:vAlign w:val="bottom"/>
            <w:hideMark/>
          </w:tcPr>
          <w:p w14:paraId="369A00D3" w14:textId="77777777" w:rsidR="006623C5" w:rsidRPr="006623C5" w:rsidRDefault="006623C5" w:rsidP="006623C5">
            <w:pPr>
              <w:jc w:val="right"/>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210,123,880</w:t>
            </w:r>
          </w:p>
        </w:tc>
        <w:tc>
          <w:tcPr>
            <w:tcW w:w="1460" w:type="dxa"/>
            <w:tcBorders>
              <w:top w:val="nil"/>
              <w:left w:val="nil"/>
              <w:bottom w:val="single" w:sz="4" w:space="0" w:color="auto"/>
              <w:right w:val="single" w:sz="4" w:space="0" w:color="auto"/>
            </w:tcBorders>
            <w:noWrap/>
            <w:vAlign w:val="bottom"/>
            <w:hideMark/>
          </w:tcPr>
          <w:p w14:paraId="4D1E7ABD" w14:textId="77777777" w:rsidR="006623C5" w:rsidRPr="006623C5" w:rsidRDefault="006623C5" w:rsidP="006623C5">
            <w:pPr>
              <w:jc w:val="right"/>
              <w:rPr>
                <w:rFonts w:ascii="Calibri" w:eastAsia="Times New Roman" w:hAnsi="Calibri" w:cs="Calibri"/>
                <w:sz w:val="22"/>
                <w:szCs w:val="22"/>
                <w:lang w:val="es-ES" w:eastAsia="es-ES"/>
              </w:rPr>
            </w:pPr>
            <w:r w:rsidRPr="006623C5">
              <w:rPr>
                <w:rFonts w:ascii="Calibri" w:eastAsia="Times New Roman" w:hAnsi="Calibri" w:cs="Calibri"/>
                <w:sz w:val="22"/>
                <w:szCs w:val="22"/>
                <w:lang w:val="es-ES" w:eastAsia="es-ES"/>
              </w:rPr>
              <w:t>53,313,790</w:t>
            </w:r>
          </w:p>
        </w:tc>
        <w:tc>
          <w:tcPr>
            <w:tcW w:w="1300" w:type="dxa"/>
            <w:tcBorders>
              <w:top w:val="nil"/>
              <w:left w:val="nil"/>
              <w:bottom w:val="single" w:sz="4" w:space="0" w:color="auto"/>
              <w:right w:val="single" w:sz="8" w:space="0" w:color="auto"/>
            </w:tcBorders>
            <w:noWrap/>
            <w:vAlign w:val="bottom"/>
            <w:hideMark/>
          </w:tcPr>
          <w:p w14:paraId="25578791" w14:textId="77777777" w:rsidR="006623C5" w:rsidRPr="006623C5" w:rsidRDefault="006623C5" w:rsidP="006623C5">
            <w:pPr>
              <w:jc w:val="right"/>
              <w:rPr>
                <w:rFonts w:ascii="Calibri" w:eastAsia="Times New Roman" w:hAnsi="Calibri" w:cs="Calibri"/>
                <w:color w:val="000000"/>
                <w:sz w:val="22"/>
                <w:szCs w:val="22"/>
                <w:lang w:val="es-ES" w:eastAsia="es-ES"/>
              </w:rPr>
            </w:pPr>
            <w:r w:rsidRPr="006623C5">
              <w:rPr>
                <w:rFonts w:ascii="Calibri" w:eastAsia="Times New Roman" w:hAnsi="Calibri" w:cs="Calibri"/>
                <w:color w:val="000000"/>
                <w:sz w:val="22"/>
                <w:szCs w:val="22"/>
                <w:lang w:val="es-ES" w:eastAsia="es-ES"/>
              </w:rPr>
              <w:t>-75%</w:t>
            </w:r>
          </w:p>
        </w:tc>
      </w:tr>
      <w:tr w:rsidR="006623C5" w:rsidRPr="006623C5" w14:paraId="4D753570" w14:textId="77777777" w:rsidTr="006623C5">
        <w:trPr>
          <w:trHeight w:val="315"/>
        </w:trPr>
        <w:tc>
          <w:tcPr>
            <w:tcW w:w="2740" w:type="dxa"/>
            <w:tcBorders>
              <w:top w:val="nil"/>
              <w:left w:val="single" w:sz="8" w:space="0" w:color="auto"/>
              <w:bottom w:val="single" w:sz="8" w:space="0" w:color="auto"/>
              <w:right w:val="single" w:sz="4" w:space="0" w:color="auto"/>
            </w:tcBorders>
            <w:noWrap/>
            <w:vAlign w:val="bottom"/>
            <w:hideMark/>
          </w:tcPr>
          <w:p w14:paraId="40B36C25" w14:textId="77777777" w:rsidR="006623C5" w:rsidRPr="006623C5" w:rsidRDefault="006623C5" w:rsidP="006623C5">
            <w:pPr>
              <w:rPr>
                <w:rFonts w:ascii="Calibri" w:eastAsia="Times New Roman" w:hAnsi="Calibri" w:cs="Calibri"/>
                <w:b/>
                <w:bCs/>
                <w:color w:val="000000"/>
                <w:sz w:val="22"/>
                <w:szCs w:val="22"/>
                <w:lang w:val="es-ES" w:eastAsia="es-ES"/>
              </w:rPr>
            </w:pPr>
            <w:r w:rsidRPr="006623C5">
              <w:rPr>
                <w:rFonts w:ascii="Calibri" w:eastAsia="Times New Roman" w:hAnsi="Calibri" w:cs="Calibri"/>
                <w:b/>
                <w:bCs/>
                <w:color w:val="000000"/>
                <w:sz w:val="22"/>
                <w:szCs w:val="22"/>
                <w:lang w:val="es-ES" w:eastAsia="es-ES"/>
              </w:rPr>
              <w:t>TOTAL</w:t>
            </w:r>
          </w:p>
        </w:tc>
        <w:tc>
          <w:tcPr>
            <w:tcW w:w="1480" w:type="dxa"/>
            <w:tcBorders>
              <w:top w:val="nil"/>
              <w:left w:val="nil"/>
              <w:bottom w:val="single" w:sz="8" w:space="0" w:color="auto"/>
              <w:right w:val="single" w:sz="4" w:space="0" w:color="auto"/>
            </w:tcBorders>
            <w:noWrap/>
            <w:vAlign w:val="bottom"/>
            <w:hideMark/>
          </w:tcPr>
          <w:p w14:paraId="3E489CA3" w14:textId="77777777" w:rsidR="006623C5" w:rsidRPr="006623C5" w:rsidRDefault="006623C5" w:rsidP="006623C5">
            <w:pPr>
              <w:jc w:val="right"/>
              <w:rPr>
                <w:rFonts w:ascii="Calibri" w:eastAsia="Times New Roman" w:hAnsi="Calibri" w:cs="Calibri"/>
                <w:b/>
                <w:bCs/>
                <w:sz w:val="22"/>
                <w:szCs w:val="22"/>
                <w:lang w:val="es-ES" w:eastAsia="es-ES"/>
              </w:rPr>
            </w:pPr>
            <w:r w:rsidRPr="006623C5">
              <w:rPr>
                <w:rFonts w:ascii="Calibri" w:eastAsia="Times New Roman" w:hAnsi="Calibri" w:cs="Calibri"/>
                <w:b/>
                <w:bCs/>
                <w:sz w:val="22"/>
                <w:szCs w:val="22"/>
                <w:lang w:val="es-ES" w:eastAsia="es-ES"/>
              </w:rPr>
              <w:t>403,501,838</w:t>
            </w:r>
          </w:p>
        </w:tc>
        <w:tc>
          <w:tcPr>
            <w:tcW w:w="1460" w:type="dxa"/>
            <w:tcBorders>
              <w:top w:val="nil"/>
              <w:left w:val="nil"/>
              <w:bottom w:val="single" w:sz="8" w:space="0" w:color="auto"/>
              <w:right w:val="single" w:sz="4" w:space="0" w:color="auto"/>
            </w:tcBorders>
            <w:noWrap/>
            <w:vAlign w:val="bottom"/>
            <w:hideMark/>
          </w:tcPr>
          <w:p w14:paraId="02ADE0DA" w14:textId="77777777" w:rsidR="006623C5" w:rsidRPr="006623C5" w:rsidRDefault="006623C5" w:rsidP="006623C5">
            <w:pPr>
              <w:jc w:val="right"/>
              <w:rPr>
                <w:rFonts w:ascii="Calibri" w:eastAsia="Times New Roman" w:hAnsi="Calibri" w:cs="Calibri"/>
                <w:b/>
                <w:bCs/>
                <w:sz w:val="22"/>
                <w:szCs w:val="22"/>
                <w:lang w:val="es-ES" w:eastAsia="es-ES"/>
              </w:rPr>
            </w:pPr>
            <w:r w:rsidRPr="006623C5">
              <w:rPr>
                <w:rFonts w:ascii="Calibri" w:eastAsia="Times New Roman" w:hAnsi="Calibri" w:cs="Calibri"/>
                <w:b/>
                <w:bCs/>
                <w:sz w:val="22"/>
                <w:szCs w:val="22"/>
                <w:lang w:val="es-ES" w:eastAsia="es-ES"/>
              </w:rPr>
              <w:t>583,787,429</w:t>
            </w:r>
          </w:p>
        </w:tc>
        <w:tc>
          <w:tcPr>
            <w:tcW w:w="1300" w:type="dxa"/>
            <w:tcBorders>
              <w:top w:val="nil"/>
              <w:left w:val="nil"/>
              <w:bottom w:val="single" w:sz="4" w:space="0" w:color="auto"/>
              <w:right w:val="single" w:sz="8" w:space="0" w:color="auto"/>
            </w:tcBorders>
            <w:noWrap/>
            <w:vAlign w:val="bottom"/>
            <w:hideMark/>
          </w:tcPr>
          <w:p w14:paraId="6397B12F" w14:textId="77777777" w:rsidR="006623C5" w:rsidRPr="006623C5" w:rsidRDefault="006623C5" w:rsidP="006623C5">
            <w:pPr>
              <w:jc w:val="right"/>
              <w:rPr>
                <w:rFonts w:ascii="Calibri" w:eastAsia="Times New Roman" w:hAnsi="Calibri" w:cs="Calibri"/>
                <w:b/>
                <w:bCs/>
                <w:color w:val="000000"/>
                <w:sz w:val="22"/>
                <w:szCs w:val="22"/>
                <w:lang w:val="es-ES" w:eastAsia="es-ES"/>
              </w:rPr>
            </w:pPr>
            <w:r w:rsidRPr="006623C5">
              <w:rPr>
                <w:rFonts w:ascii="Calibri" w:eastAsia="Times New Roman" w:hAnsi="Calibri" w:cs="Calibri"/>
                <w:b/>
                <w:bCs/>
                <w:color w:val="000000"/>
                <w:sz w:val="22"/>
                <w:szCs w:val="22"/>
                <w:lang w:val="es-ES" w:eastAsia="es-ES"/>
              </w:rPr>
              <w:t>45%</w:t>
            </w:r>
          </w:p>
        </w:tc>
      </w:tr>
    </w:tbl>
    <w:p w14:paraId="5AD7A244" w14:textId="77777777" w:rsidR="0089542B" w:rsidRDefault="0089542B" w:rsidP="0089542B">
      <w:pPr>
        <w:spacing w:after="120" w:line="276" w:lineRule="auto"/>
        <w:ind w:left="142"/>
        <w:jc w:val="both"/>
        <w:rPr>
          <w:rFonts w:ascii="Arial" w:hAnsi="Arial"/>
          <w:b/>
          <w:spacing w:val="-1"/>
          <w:sz w:val="16"/>
          <w:szCs w:val="16"/>
          <w:lang w:val="es-ES"/>
        </w:rPr>
      </w:pPr>
      <w:r w:rsidRPr="0005671B">
        <w:rPr>
          <w:rFonts w:ascii="Arial" w:hAnsi="Arial"/>
          <w:b/>
          <w:spacing w:val="-1"/>
          <w:sz w:val="16"/>
          <w:szCs w:val="16"/>
          <w:lang w:val="es-ES"/>
        </w:rPr>
        <w:t xml:space="preserve">Fuente: </w:t>
      </w:r>
      <w:r>
        <w:rPr>
          <w:rFonts w:ascii="Arial" w:hAnsi="Arial"/>
          <w:b/>
          <w:spacing w:val="-1"/>
          <w:sz w:val="16"/>
          <w:szCs w:val="16"/>
          <w:lang w:val="es-ES"/>
        </w:rPr>
        <w:t>Estado de la situación financiera suministrado Subgerencia Administrativa y Financiera</w:t>
      </w:r>
    </w:p>
    <w:p w14:paraId="34A4920F" w14:textId="77777777" w:rsidR="00120089" w:rsidRDefault="00120089" w:rsidP="007F4E78">
      <w:pPr>
        <w:spacing w:after="120" w:line="276" w:lineRule="auto"/>
        <w:ind w:left="142"/>
        <w:jc w:val="both"/>
        <w:rPr>
          <w:rFonts w:ascii="Arial Narrow" w:hAnsi="Arial Narrow"/>
          <w:b/>
          <w:spacing w:val="-1"/>
          <w:sz w:val="22"/>
          <w:szCs w:val="22"/>
          <w:lang w:val="es-ES"/>
        </w:rPr>
      </w:pPr>
    </w:p>
    <w:p w14:paraId="70396054" w14:textId="77777777" w:rsidR="00120089" w:rsidRDefault="00120089" w:rsidP="007F4E78">
      <w:pPr>
        <w:spacing w:after="120" w:line="276" w:lineRule="auto"/>
        <w:ind w:left="142"/>
        <w:jc w:val="both"/>
        <w:rPr>
          <w:rFonts w:ascii="Arial Narrow" w:hAnsi="Arial Narrow"/>
          <w:b/>
          <w:spacing w:val="-1"/>
          <w:sz w:val="22"/>
          <w:szCs w:val="22"/>
          <w:lang w:val="es-ES"/>
        </w:rPr>
      </w:pPr>
    </w:p>
    <w:p w14:paraId="5687DAE7" w14:textId="77777777" w:rsidR="00120089" w:rsidRDefault="00120089" w:rsidP="007F4E78">
      <w:pPr>
        <w:spacing w:after="120" w:line="276" w:lineRule="auto"/>
        <w:ind w:left="142"/>
        <w:jc w:val="both"/>
        <w:rPr>
          <w:rFonts w:ascii="Arial Narrow" w:hAnsi="Arial Narrow"/>
          <w:b/>
          <w:spacing w:val="-1"/>
          <w:sz w:val="22"/>
          <w:szCs w:val="22"/>
          <w:lang w:val="es-ES"/>
        </w:rPr>
      </w:pPr>
    </w:p>
    <w:p w14:paraId="6BC7D0F6" w14:textId="77777777" w:rsidR="00120089" w:rsidRDefault="00120089" w:rsidP="007F4E78">
      <w:pPr>
        <w:spacing w:after="120" w:line="276" w:lineRule="auto"/>
        <w:ind w:left="142"/>
        <w:jc w:val="both"/>
        <w:rPr>
          <w:rFonts w:ascii="Arial Narrow" w:hAnsi="Arial Narrow"/>
          <w:b/>
          <w:spacing w:val="-1"/>
          <w:sz w:val="22"/>
          <w:szCs w:val="22"/>
          <w:lang w:val="es-ES"/>
        </w:rPr>
      </w:pPr>
    </w:p>
    <w:p w14:paraId="7EAD4608" w14:textId="55DE6098" w:rsidR="00816315" w:rsidRDefault="001D00E6" w:rsidP="007F4E78">
      <w:pPr>
        <w:spacing w:after="120" w:line="276" w:lineRule="auto"/>
        <w:ind w:left="142"/>
        <w:jc w:val="both"/>
        <w:rPr>
          <w:rFonts w:ascii="Arial Narrow" w:hAnsi="Arial Narrow"/>
          <w:bCs/>
          <w:spacing w:val="-1"/>
          <w:sz w:val="22"/>
          <w:szCs w:val="22"/>
          <w:lang w:val="es-ES"/>
        </w:rPr>
      </w:pPr>
      <w:r w:rsidRPr="00B024F1">
        <w:rPr>
          <w:rFonts w:ascii="Arial Narrow" w:hAnsi="Arial Narrow"/>
          <w:b/>
          <w:spacing w:val="-1"/>
          <w:sz w:val="22"/>
          <w:szCs w:val="22"/>
          <w:lang w:val="es-ES"/>
        </w:rPr>
        <w:lastRenderedPageBreak/>
        <w:t>SUELDO</w:t>
      </w:r>
      <w:r w:rsidR="009A3893" w:rsidRPr="00B024F1">
        <w:rPr>
          <w:rFonts w:ascii="Arial Narrow" w:hAnsi="Arial Narrow"/>
          <w:b/>
          <w:spacing w:val="-1"/>
          <w:sz w:val="22"/>
          <w:szCs w:val="22"/>
          <w:lang w:val="es-ES"/>
        </w:rPr>
        <w:t>S</w:t>
      </w:r>
      <w:r w:rsidRPr="00B024F1">
        <w:rPr>
          <w:rFonts w:ascii="Arial Narrow" w:hAnsi="Arial Narrow"/>
          <w:b/>
          <w:spacing w:val="-1"/>
          <w:sz w:val="22"/>
          <w:szCs w:val="22"/>
          <w:lang w:val="es-ES"/>
        </w:rPr>
        <w:t xml:space="preserve"> DE PERSONAL DE NOMINA:  </w:t>
      </w:r>
      <w:r w:rsidRPr="00B024F1">
        <w:rPr>
          <w:rFonts w:ascii="Arial Narrow" w:hAnsi="Arial Narrow"/>
          <w:bCs/>
          <w:spacing w:val="-1"/>
          <w:sz w:val="22"/>
          <w:szCs w:val="22"/>
          <w:lang w:val="es-ES"/>
        </w:rPr>
        <w:t>Para</w:t>
      </w:r>
      <w:r w:rsidR="004731BE">
        <w:rPr>
          <w:rFonts w:ascii="Arial Narrow" w:hAnsi="Arial Narrow"/>
          <w:bCs/>
          <w:spacing w:val="-1"/>
          <w:sz w:val="22"/>
          <w:szCs w:val="22"/>
          <w:lang w:val="es-ES"/>
        </w:rPr>
        <w:t xml:space="preserve"> el per</w:t>
      </w:r>
      <w:r w:rsidR="00FD4B92">
        <w:rPr>
          <w:rFonts w:ascii="Arial Narrow" w:hAnsi="Arial Narrow"/>
          <w:bCs/>
          <w:spacing w:val="-1"/>
          <w:sz w:val="22"/>
          <w:szCs w:val="22"/>
          <w:lang w:val="es-ES"/>
        </w:rPr>
        <w:t>í</w:t>
      </w:r>
      <w:r w:rsidR="004731BE">
        <w:rPr>
          <w:rFonts w:ascii="Arial Narrow" w:hAnsi="Arial Narrow"/>
          <w:bCs/>
          <w:spacing w:val="-1"/>
          <w:sz w:val="22"/>
          <w:szCs w:val="22"/>
          <w:lang w:val="es-ES"/>
        </w:rPr>
        <w:t>odo analizado</w:t>
      </w:r>
      <w:r w:rsidR="005E435B">
        <w:rPr>
          <w:rFonts w:ascii="Arial Narrow" w:hAnsi="Arial Narrow"/>
          <w:bCs/>
          <w:spacing w:val="-1"/>
          <w:sz w:val="22"/>
          <w:szCs w:val="22"/>
          <w:lang w:val="es-ES"/>
        </w:rPr>
        <w:t xml:space="preserve"> 2025</w:t>
      </w:r>
      <w:r w:rsidR="004731BE">
        <w:rPr>
          <w:rFonts w:ascii="Arial Narrow" w:hAnsi="Arial Narrow"/>
          <w:bCs/>
          <w:spacing w:val="-1"/>
          <w:sz w:val="22"/>
          <w:szCs w:val="22"/>
          <w:lang w:val="es-ES"/>
        </w:rPr>
        <w:t xml:space="preserve"> se presentó un</w:t>
      </w:r>
      <w:r w:rsidR="00611DDE">
        <w:rPr>
          <w:rFonts w:ascii="Arial Narrow" w:hAnsi="Arial Narrow"/>
          <w:bCs/>
          <w:spacing w:val="-1"/>
          <w:sz w:val="22"/>
          <w:szCs w:val="22"/>
          <w:lang w:val="es-ES"/>
        </w:rPr>
        <w:t xml:space="preserve"> incremento del </w:t>
      </w:r>
      <w:r w:rsidR="00193CD0" w:rsidRPr="00193CD0">
        <w:rPr>
          <w:rFonts w:ascii="Arial Narrow" w:hAnsi="Arial Narrow"/>
          <w:b/>
          <w:spacing w:val="-1"/>
          <w:sz w:val="22"/>
          <w:szCs w:val="22"/>
          <w:lang w:val="es-ES"/>
        </w:rPr>
        <w:t>172</w:t>
      </w:r>
      <w:r w:rsidR="00611DDE" w:rsidRPr="00193CD0">
        <w:rPr>
          <w:rFonts w:ascii="Arial Narrow" w:hAnsi="Arial Narrow"/>
          <w:b/>
          <w:spacing w:val="-1"/>
          <w:sz w:val="22"/>
          <w:szCs w:val="22"/>
          <w:lang w:val="es-ES"/>
        </w:rPr>
        <w:t>%</w:t>
      </w:r>
      <w:r w:rsidR="005E435B">
        <w:rPr>
          <w:rFonts w:ascii="Arial Narrow" w:hAnsi="Arial Narrow"/>
          <w:bCs/>
          <w:spacing w:val="-1"/>
          <w:sz w:val="22"/>
          <w:szCs w:val="22"/>
          <w:lang w:val="es-ES"/>
        </w:rPr>
        <w:t>,</w:t>
      </w:r>
      <w:r w:rsidR="00516AAC">
        <w:rPr>
          <w:rFonts w:ascii="Arial Narrow" w:hAnsi="Arial Narrow"/>
          <w:b/>
          <w:spacing w:val="-1"/>
          <w:sz w:val="22"/>
          <w:szCs w:val="22"/>
          <w:lang w:val="es-ES"/>
        </w:rPr>
        <w:t xml:space="preserve"> </w:t>
      </w:r>
      <w:r w:rsidR="00266EFC">
        <w:rPr>
          <w:rFonts w:ascii="Arial Narrow" w:hAnsi="Arial Narrow"/>
          <w:bCs/>
          <w:spacing w:val="-1"/>
          <w:sz w:val="22"/>
          <w:szCs w:val="22"/>
          <w:lang w:val="es-ES"/>
        </w:rPr>
        <w:t xml:space="preserve">este incremento se debe </w:t>
      </w:r>
      <w:r w:rsidR="008D6A52">
        <w:rPr>
          <w:rFonts w:ascii="Arial Narrow" w:hAnsi="Arial Narrow"/>
          <w:bCs/>
          <w:spacing w:val="-1"/>
          <w:sz w:val="22"/>
          <w:szCs w:val="22"/>
          <w:lang w:val="es-ES"/>
        </w:rPr>
        <w:t xml:space="preserve">a que para el año </w:t>
      </w:r>
      <w:r w:rsidR="00EF40D3">
        <w:rPr>
          <w:rFonts w:ascii="Arial Narrow" w:hAnsi="Arial Narrow"/>
          <w:bCs/>
          <w:spacing w:val="-1"/>
          <w:sz w:val="22"/>
          <w:szCs w:val="22"/>
          <w:lang w:val="es-ES"/>
        </w:rPr>
        <w:t>2025,</w:t>
      </w:r>
      <w:r w:rsidR="008D6A52">
        <w:rPr>
          <w:rFonts w:ascii="Arial Narrow" w:hAnsi="Arial Narrow"/>
          <w:bCs/>
          <w:spacing w:val="-1"/>
          <w:sz w:val="22"/>
          <w:szCs w:val="22"/>
          <w:lang w:val="es-ES"/>
        </w:rPr>
        <w:t xml:space="preserve"> los trabajadores que se encontraban </w:t>
      </w:r>
      <w:r w:rsidR="004F12B0">
        <w:rPr>
          <w:rFonts w:ascii="Arial Narrow" w:hAnsi="Arial Narrow"/>
          <w:bCs/>
          <w:spacing w:val="-1"/>
          <w:sz w:val="22"/>
          <w:szCs w:val="22"/>
          <w:lang w:val="es-ES"/>
        </w:rPr>
        <w:t xml:space="preserve">laborando </w:t>
      </w:r>
      <w:r w:rsidR="008D6A52">
        <w:rPr>
          <w:rFonts w:ascii="Arial Narrow" w:hAnsi="Arial Narrow"/>
          <w:bCs/>
          <w:spacing w:val="-1"/>
          <w:sz w:val="22"/>
          <w:szCs w:val="22"/>
          <w:lang w:val="es-ES"/>
        </w:rPr>
        <w:t xml:space="preserve">en prestación de servicios fueron </w:t>
      </w:r>
      <w:r w:rsidR="00D66CA8">
        <w:rPr>
          <w:rFonts w:ascii="Arial Narrow" w:hAnsi="Arial Narrow"/>
          <w:bCs/>
          <w:spacing w:val="-1"/>
          <w:sz w:val="22"/>
          <w:szCs w:val="22"/>
          <w:lang w:val="es-ES"/>
        </w:rPr>
        <w:t>vinculados</w:t>
      </w:r>
      <w:r w:rsidR="00750BEF">
        <w:rPr>
          <w:rFonts w:ascii="Arial Narrow" w:hAnsi="Arial Narrow"/>
          <w:bCs/>
          <w:spacing w:val="-1"/>
          <w:sz w:val="22"/>
          <w:szCs w:val="22"/>
          <w:lang w:val="es-ES"/>
        </w:rPr>
        <w:t>.</w:t>
      </w:r>
      <w:r w:rsidR="008940CC">
        <w:rPr>
          <w:rFonts w:ascii="Arial Narrow" w:hAnsi="Arial Narrow"/>
          <w:bCs/>
          <w:spacing w:val="-1"/>
          <w:sz w:val="22"/>
          <w:szCs w:val="22"/>
          <w:lang w:val="es-ES"/>
        </w:rPr>
        <w:t xml:space="preserve"> </w:t>
      </w:r>
    </w:p>
    <w:p w14:paraId="082CE8DB" w14:textId="0E98EBAD" w:rsidR="007F4E78" w:rsidRDefault="009A3893" w:rsidP="007F4E78">
      <w:pPr>
        <w:spacing w:after="120" w:line="276" w:lineRule="auto"/>
        <w:ind w:left="142"/>
        <w:jc w:val="both"/>
        <w:rPr>
          <w:rFonts w:ascii="Arial Narrow" w:hAnsi="Arial Narrow"/>
          <w:spacing w:val="-1"/>
          <w:sz w:val="22"/>
          <w:szCs w:val="22"/>
          <w:lang w:val="es-ES"/>
        </w:rPr>
      </w:pPr>
      <w:r>
        <w:rPr>
          <w:rFonts w:ascii="Arial Narrow" w:hAnsi="Arial Narrow"/>
          <w:b/>
          <w:bCs/>
          <w:spacing w:val="-1"/>
          <w:sz w:val="22"/>
          <w:szCs w:val="22"/>
          <w:lang w:val="es-ES"/>
        </w:rPr>
        <w:t>GASTOS DE REPRESENTACIÒN:</w:t>
      </w:r>
      <w:r w:rsidR="007F4E78" w:rsidRPr="007F4E78">
        <w:rPr>
          <w:rFonts w:ascii="Arial Narrow" w:hAnsi="Arial Narrow"/>
          <w:spacing w:val="-1"/>
          <w:sz w:val="22"/>
          <w:szCs w:val="22"/>
          <w:lang w:val="es-ES"/>
        </w:rPr>
        <w:t xml:space="preserve"> </w:t>
      </w:r>
      <w:r w:rsidR="007F4E78" w:rsidRPr="009A3893">
        <w:rPr>
          <w:rFonts w:ascii="Arial Narrow" w:hAnsi="Arial Narrow"/>
          <w:spacing w:val="-1"/>
          <w:sz w:val="22"/>
          <w:szCs w:val="22"/>
          <w:lang w:val="es-ES"/>
        </w:rPr>
        <w:t>Este rubro</w:t>
      </w:r>
      <w:r w:rsidR="007F4E78">
        <w:rPr>
          <w:rFonts w:ascii="Arial Narrow" w:hAnsi="Arial Narrow"/>
          <w:spacing w:val="-1"/>
          <w:sz w:val="22"/>
          <w:szCs w:val="22"/>
          <w:lang w:val="es-ES"/>
        </w:rPr>
        <w:t xml:space="preserve"> no </w:t>
      </w:r>
      <w:r w:rsidR="007F4E78" w:rsidRPr="009A3893">
        <w:rPr>
          <w:rFonts w:ascii="Arial Narrow" w:hAnsi="Arial Narrow"/>
          <w:spacing w:val="-1"/>
          <w:sz w:val="22"/>
          <w:szCs w:val="22"/>
          <w:lang w:val="es-ES"/>
        </w:rPr>
        <w:t xml:space="preserve">presento </w:t>
      </w:r>
      <w:r w:rsidR="007F4E78">
        <w:rPr>
          <w:rFonts w:ascii="Arial Narrow" w:hAnsi="Arial Narrow"/>
          <w:spacing w:val="-1"/>
          <w:sz w:val="22"/>
          <w:szCs w:val="22"/>
          <w:lang w:val="es-ES"/>
        </w:rPr>
        <w:t>causaciones para el periodo analizado 202</w:t>
      </w:r>
      <w:r w:rsidR="00CF54C7">
        <w:rPr>
          <w:rFonts w:ascii="Arial Narrow" w:hAnsi="Arial Narrow"/>
          <w:spacing w:val="-1"/>
          <w:sz w:val="22"/>
          <w:szCs w:val="22"/>
          <w:lang w:val="es-ES"/>
        </w:rPr>
        <w:t>5</w:t>
      </w:r>
      <w:r w:rsidR="007F4E78">
        <w:rPr>
          <w:rFonts w:ascii="Arial Narrow" w:hAnsi="Arial Narrow"/>
          <w:spacing w:val="-1"/>
          <w:sz w:val="22"/>
          <w:szCs w:val="22"/>
          <w:lang w:val="es-ES"/>
        </w:rPr>
        <w:t xml:space="preserve"> y 202</w:t>
      </w:r>
      <w:r w:rsidR="00363940">
        <w:rPr>
          <w:rFonts w:ascii="Arial Narrow" w:hAnsi="Arial Narrow"/>
          <w:spacing w:val="-1"/>
          <w:sz w:val="22"/>
          <w:szCs w:val="22"/>
          <w:lang w:val="es-ES"/>
        </w:rPr>
        <w:t>4</w:t>
      </w:r>
      <w:r w:rsidR="007F4E78">
        <w:rPr>
          <w:rFonts w:ascii="Arial Narrow" w:hAnsi="Arial Narrow"/>
          <w:spacing w:val="-1"/>
          <w:sz w:val="22"/>
          <w:szCs w:val="22"/>
          <w:lang w:val="es-ES"/>
        </w:rPr>
        <w:t xml:space="preserve"> por este concepto.</w:t>
      </w:r>
    </w:p>
    <w:p w14:paraId="7BA8424C" w14:textId="011500E8" w:rsidR="00A60085" w:rsidRDefault="00B01DB4" w:rsidP="00A3180F">
      <w:pPr>
        <w:spacing w:after="120" w:line="276" w:lineRule="auto"/>
        <w:ind w:left="142"/>
        <w:jc w:val="both"/>
        <w:rPr>
          <w:rFonts w:ascii="Arial Narrow" w:hAnsi="Arial Narrow"/>
          <w:spacing w:val="-1"/>
          <w:sz w:val="22"/>
          <w:szCs w:val="22"/>
          <w:lang w:val="es-ES"/>
        </w:rPr>
      </w:pPr>
      <w:r w:rsidRPr="009A3893">
        <w:rPr>
          <w:rFonts w:ascii="Arial Narrow" w:hAnsi="Arial Narrow"/>
          <w:b/>
          <w:spacing w:val="-1"/>
          <w:sz w:val="22"/>
          <w:szCs w:val="22"/>
          <w:lang w:val="es-ES"/>
        </w:rPr>
        <w:t>VIÁTICOS:</w:t>
      </w:r>
      <w:r w:rsidR="00A60085" w:rsidRPr="009A3893">
        <w:rPr>
          <w:rFonts w:ascii="Arial Narrow" w:hAnsi="Arial Narrow"/>
          <w:spacing w:val="-1"/>
          <w:sz w:val="22"/>
          <w:szCs w:val="22"/>
          <w:lang w:val="es-ES"/>
        </w:rPr>
        <w:t xml:space="preserve">  Este rubro</w:t>
      </w:r>
      <w:r w:rsidR="004731BE">
        <w:rPr>
          <w:rFonts w:ascii="Arial Narrow" w:hAnsi="Arial Narrow"/>
          <w:spacing w:val="-1"/>
          <w:sz w:val="22"/>
          <w:szCs w:val="22"/>
          <w:lang w:val="es-ES"/>
        </w:rPr>
        <w:t xml:space="preserve"> </w:t>
      </w:r>
      <w:r w:rsidR="009F134C">
        <w:rPr>
          <w:rFonts w:ascii="Arial Narrow" w:hAnsi="Arial Narrow"/>
          <w:spacing w:val="-1"/>
          <w:sz w:val="22"/>
          <w:szCs w:val="22"/>
          <w:lang w:val="es-ES"/>
        </w:rPr>
        <w:t xml:space="preserve">no </w:t>
      </w:r>
      <w:r w:rsidR="004731BE" w:rsidRPr="009A3893">
        <w:rPr>
          <w:rFonts w:ascii="Arial Narrow" w:hAnsi="Arial Narrow"/>
          <w:spacing w:val="-1"/>
          <w:sz w:val="22"/>
          <w:szCs w:val="22"/>
          <w:lang w:val="es-ES"/>
        </w:rPr>
        <w:t>presento</w:t>
      </w:r>
      <w:r w:rsidR="00A60085" w:rsidRPr="009A3893">
        <w:rPr>
          <w:rFonts w:ascii="Arial Narrow" w:hAnsi="Arial Narrow"/>
          <w:spacing w:val="-1"/>
          <w:sz w:val="22"/>
          <w:szCs w:val="22"/>
          <w:lang w:val="es-ES"/>
        </w:rPr>
        <w:t xml:space="preserve"> </w:t>
      </w:r>
      <w:r w:rsidR="009F134C">
        <w:rPr>
          <w:rFonts w:ascii="Arial Narrow" w:hAnsi="Arial Narrow"/>
          <w:spacing w:val="-1"/>
          <w:sz w:val="22"/>
          <w:szCs w:val="22"/>
          <w:lang w:val="es-ES"/>
        </w:rPr>
        <w:t xml:space="preserve">causaciones </w:t>
      </w:r>
      <w:r w:rsidR="007161E1">
        <w:rPr>
          <w:rFonts w:ascii="Arial Narrow" w:hAnsi="Arial Narrow"/>
          <w:spacing w:val="-1"/>
          <w:sz w:val="22"/>
          <w:szCs w:val="22"/>
          <w:lang w:val="es-ES"/>
        </w:rPr>
        <w:t>para el periodo analizado 202</w:t>
      </w:r>
      <w:r w:rsidR="00363940">
        <w:rPr>
          <w:rFonts w:ascii="Arial Narrow" w:hAnsi="Arial Narrow"/>
          <w:spacing w:val="-1"/>
          <w:sz w:val="22"/>
          <w:szCs w:val="22"/>
          <w:lang w:val="es-ES"/>
        </w:rPr>
        <w:t>5</w:t>
      </w:r>
      <w:r w:rsidR="00516AAC">
        <w:rPr>
          <w:rFonts w:ascii="Arial Narrow" w:hAnsi="Arial Narrow"/>
          <w:spacing w:val="-1"/>
          <w:sz w:val="22"/>
          <w:szCs w:val="22"/>
          <w:lang w:val="es-ES"/>
        </w:rPr>
        <w:t xml:space="preserve"> y </w:t>
      </w:r>
      <w:r w:rsidR="009F134C">
        <w:rPr>
          <w:rFonts w:ascii="Arial Narrow" w:hAnsi="Arial Narrow"/>
          <w:spacing w:val="-1"/>
          <w:sz w:val="22"/>
          <w:szCs w:val="22"/>
          <w:lang w:val="es-ES"/>
        </w:rPr>
        <w:t>202</w:t>
      </w:r>
      <w:r w:rsidR="00363940">
        <w:rPr>
          <w:rFonts w:ascii="Arial Narrow" w:hAnsi="Arial Narrow"/>
          <w:spacing w:val="-1"/>
          <w:sz w:val="22"/>
          <w:szCs w:val="22"/>
          <w:lang w:val="es-ES"/>
        </w:rPr>
        <w:t>4</w:t>
      </w:r>
      <w:r w:rsidR="009F134C">
        <w:rPr>
          <w:rFonts w:ascii="Arial Narrow" w:hAnsi="Arial Narrow"/>
          <w:spacing w:val="-1"/>
          <w:sz w:val="22"/>
          <w:szCs w:val="22"/>
          <w:lang w:val="es-ES"/>
        </w:rPr>
        <w:t xml:space="preserve"> por</w:t>
      </w:r>
      <w:r w:rsidR="007161E1">
        <w:rPr>
          <w:rFonts w:ascii="Arial Narrow" w:hAnsi="Arial Narrow"/>
          <w:spacing w:val="-1"/>
          <w:sz w:val="22"/>
          <w:szCs w:val="22"/>
          <w:lang w:val="es-ES"/>
        </w:rPr>
        <w:t xml:space="preserve"> este concepto.</w:t>
      </w:r>
    </w:p>
    <w:p w14:paraId="24BC2970" w14:textId="6B25686B" w:rsidR="00DC2C26" w:rsidRDefault="00B01DB4" w:rsidP="00A3180F">
      <w:pPr>
        <w:spacing w:after="120" w:line="276" w:lineRule="auto"/>
        <w:ind w:left="142"/>
        <w:jc w:val="both"/>
        <w:rPr>
          <w:rFonts w:ascii="Arial Narrow" w:hAnsi="Arial Narrow"/>
          <w:spacing w:val="-1"/>
          <w:sz w:val="22"/>
          <w:szCs w:val="22"/>
          <w:lang w:val="es-ES"/>
        </w:rPr>
      </w:pPr>
      <w:r>
        <w:rPr>
          <w:rFonts w:ascii="Arial Narrow" w:hAnsi="Arial Narrow"/>
          <w:b/>
          <w:bCs/>
          <w:spacing w:val="-1"/>
          <w:sz w:val="22"/>
          <w:szCs w:val="22"/>
          <w:lang w:val="es-ES"/>
        </w:rPr>
        <w:t>MATERIALES Y SUMINISTROS:</w:t>
      </w:r>
      <w:r w:rsidR="00A97D51">
        <w:rPr>
          <w:rFonts w:ascii="Arial Narrow" w:hAnsi="Arial Narrow"/>
          <w:b/>
          <w:bCs/>
          <w:spacing w:val="-1"/>
          <w:sz w:val="22"/>
          <w:szCs w:val="22"/>
          <w:lang w:val="es-ES"/>
        </w:rPr>
        <w:t xml:space="preserve"> </w:t>
      </w:r>
      <w:r w:rsidR="00A97D51" w:rsidRPr="009A3893">
        <w:rPr>
          <w:rFonts w:ascii="Arial Narrow" w:hAnsi="Arial Narrow"/>
          <w:spacing w:val="-1"/>
          <w:sz w:val="22"/>
          <w:szCs w:val="22"/>
          <w:lang w:val="es-ES"/>
        </w:rPr>
        <w:t>Este rubro</w:t>
      </w:r>
      <w:r w:rsidR="00A97D51">
        <w:rPr>
          <w:rFonts w:ascii="Arial Narrow" w:hAnsi="Arial Narrow"/>
          <w:spacing w:val="-1"/>
          <w:sz w:val="22"/>
          <w:szCs w:val="22"/>
          <w:lang w:val="es-ES"/>
        </w:rPr>
        <w:t xml:space="preserve"> </w:t>
      </w:r>
      <w:r w:rsidR="002F0359">
        <w:rPr>
          <w:rFonts w:ascii="Arial Narrow" w:hAnsi="Arial Narrow"/>
          <w:spacing w:val="-1"/>
          <w:sz w:val="22"/>
          <w:szCs w:val="22"/>
          <w:lang w:val="es-ES"/>
        </w:rPr>
        <w:t xml:space="preserve">presento </w:t>
      </w:r>
      <w:r w:rsidR="00520C02">
        <w:rPr>
          <w:rFonts w:ascii="Arial Narrow" w:hAnsi="Arial Narrow"/>
          <w:spacing w:val="-1"/>
          <w:sz w:val="22"/>
          <w:szCs w:val="22"/>
          <w:lang w:val="es-ES"/>
        </w:rPr>
        <w:t xml:space="preserve">causaciones </w:t>
      </w:r>
      <w:r w:rsidR="001E0C23">
        <w:rPr>
          <w:rFonts w:ascii="Arial Narrow" w:hAnsi="Arial Narrow"/>
          <w:spacing w:val="-1"/>
          <w:sz w:val="22"/>
          <w:szCs w:val="22"/>
          <w:lang w:val="es-ES"/>
        </w:rPr>
        <w:t>para los periodos analizados.</w:t>
      </w:r>
    </w:p>
    <w:p w14:paraId="01FF8E2C" w14:textId="11A65BC8" w:rsidR="00B01DB4" w:rsidRPr="00D800D4" w:rsidRDefault="00C022E2" w:rsidP="00A3180F">
      <w:pPr>
        <w:spacing w:after="120" w:line="276" w:lineRule="auto"/>
        <w:ind w:left="142"/>
        <w:jc w:val="both"/>
        <w:rPr>
          <w:rFonts w:ascii="Arial Narrow" w:hAnsi="Arial Narrow"/>
          <w:b/>
          <w:bCs/>
          <w:spacing w:val="-1"/>
          <w:sz w:val="22"/>
          <w:szCs w:val="22"/>
          <w:lang w:val="es-ES"/>
        </w:rPr>
      </w:pPr>
      <w:r>
        <w:rPr>
          <w:rFonts w:ascii="Arial Narrow" w:hAnsi="Arial Narrow"/>
          <w:b/>
          <w:bCs/>
          <w:spacing w:val="-1"/>
          <w:sz w:val="22"/>
          <w:szCs w:val="22"/>
          <w:lang w:val="es-ES"/>
        </w:rPr>
        <w:t xml:space="preserve">MANTENIMIENTO DE VEHICULOS Y </w:t>
      </w:r>
      <w:r w:rsidR="00362AC8">
        <w:rPr>
          <w:rFonts w:ascii="Arial Narrow" w:hAnsi="Arial Narrow"/>
          <w:b/>
          <w:bCs/>
          <w:spacing w:val="-1"/>
          <w:sz w:val="22"/>
          <w:szCs w:val="22"/>
          <w:lang w:val="es-ES"/>
        </w:rPr>
        <w:t>EDIFICACIONES</w:t>
      </w:r>
      <w:r w:rsidR="0053671B">
        <w:rPr>
          <w:rFonts w:ascii="Arial Narrow" w:hAnsi="Arial Narrow"/>
          <w:b/>
          <w:bCs/>
          <w:spacing w:val="-1"/>
          <w:sz w:val="22"/>
          <w:szCs w:val="22"/>
          <w:lang w:val="es-ES"/>
        </w:rPr>
        <w:t>:</w:t>
      </w:r>
      <w:r w:rsidR="008174A0">
        <w:rPr>
          <w:rFonts w:ascii="Arial Narrow" w:hAnsi="Arial Narrow"/>
          <w:b/>
          <w:bCs/>
          <w:spacing w:val="-1"/>
          <w:sz w:val="22"/>
          <w:szCs w:val="22"/>
          <w:lang w:val="es-ES"/>
        </w:rPr>
        <w:t xml:space="preserve"> </w:t>
      </w:r>
      <w:r w:rsidR="00B43664">
        <w:rPr>
          <w:rFonts w:ascii="Arial Narrow" w:hAnsi="Arial Narrow"/>
          <w:spacing w:val="-1"/>
          <w:sz w:val="22"/>
          <w:szCs w:val="22"/>
          <w:lang w:val="es-ES"/>
        </w:rPr>
        <w:t>E</w:t>
      </w:r>
      <w:r w:rsidR="008174A0" w:rsidRPr="00B43664">
        <w:rPr>
          <w:rFonts w:ascii="Arial Narrow" w:hAnsi="Arial Narrow"/>
          <w:spacing w:val="-1"/>
          <w:sz w:val="22"/>
          <w:szCs w:val="22"/>
          <w:lang w:val="es-ES"/>
        </w:rPr>
        <w:t>ste</w:t>
      </w:r>
      <w:r w:rsidR="00E2646C">
        <w:rPr>
          <w:rFonts w:ascii="Arial Narrow" w:hAnsi="Arial Narrow"/>
          <w:spacing w:val="-1"/>
          <w:sz w:val="22"/>
          <w:szCs w:val="22"/>
          <w:lang w:val="es-ES"/>
        </w:rPr>
        <w:t xml:space="preserve"> rubro </w:t>
      </w:r>
      <w:r w:rsidR="000209B6">
        <w:rPr>
          <w:rFonts w:ascii="Arial Narrow" w:hAnsi="Arial Narrow"/>
          <w:spacing w:val="-1"/>
          <w:sz w:val="22"/>
          <w:szCs w:val="22"/>
          <w:lang w:val="es-ES"/>
        </w:rPr>
        <w:t xml:space="preserve">no </w:t>
      </w:r>
      <w:r w:rsidR="00E2646C">
        <w:rPr>
          <w:rFonts w:ascii="Arial Narrow" w:hAnsi="Arial Narrow"/>
          <w:spacing w:val="-1"/>
          <w:sz w:val="22"/>
          <w:szCs w:val="22"/>
          <w:lang w:val="es-ES"/>
        </w:rPr>
        <w:t>present</w:t>
      </w:r>
      <w:r w:rsidR="00CB4F6E">
        <w:rPr>
          <w:rFonts w:ascii="Arial Narrow" w:hAnsi="Arial Narrow"/>
          <w:spacing w:val="-1"/>
          <w:sz w:val="22"/>
          <w:szCs w:val="22"/>
          <w:lang w:val="es-ES"/>
        </w:rPr>
        <w:t>ó</w:t>
      </w:r>
      <w:r w:rsidR="00E2646C">
        <w:rPr>
          <w:rFonts w:ascii="Arial Narrow" w:hAnsi="Arial Narrow"/>
          <w:spacing w:val="-1"/>
          <w:sz w:val="22"/>
          <w:szCs w:val="22"/>
          <w:lang w:val="es-ES"/>
        </w:rPr>
        <w:t xml:space="preserve"> </w:t>
      </w:r>
      <w:r w:rsidR="008D17D2">
        <w:rPr>
          <w:rFonts w:ascii="Arial Narrow" w:hAnsi="Arial Narrow"/>
          <w:spacing w:val="-1"/>
          <w:sz w:val="22"/>
          <w:szCs w:val="22"/>
          <w:lang w:val="es-ES"/>
        </w:rPr>
        <w:t>causación</w:t>
      </w:r>
      <w:r w:rsidR="000209B6">
        <w:rPr>
          <w:rFonts w:ascii="Arial Narrow" w:hAnsi="Arial Narrow"/>
          <w:spacing w:val="-1"/>
          <w:sz w:val="22"/>
          <w:szCs w:val="22"/>
          <w:lang w:val="es-ES"/>
        </w:rPr>
        <w:t xml:space="preserve"> para</w:t>
      </w:r>
      <w:r w:rsidR="00BE3862">
        <w:rPr>
          <w:rFonts w:ascii="Arial Narrow" w:hAnsi="Arial Narrow"/>
          <w:spacing w:val="-1"/>
          <w:sz w:val="22"/>
          <w:szCs w:val="22"/>
          <w:lang w:val="es-ES"/>
        </w:rPr>
        <w:t xml:space="preserve"> el tercer trimestre</w:t>
      </w:r>
      <w:r w:rsidR="006F1AB7">
        <w:rPr>
          <w:rFonts w:ascii="Arial Narrow" w:hAnsi="Arial Narrow"/>
          <w:spacing w:val="-1"/>
          <w:sz w:val="22"/>
          <w:szCs w:val="22"/>
          <w:lang w:val="es-ES"/>
        </w:rPr>
        <w:t xml:space="preserve"> de </w:t>
      </w:r>
      <w:r w:rsidR="000209B6">
        <w:rPr>
          <w:rFonts w:ascii="Arial Narrow" w:hAnsi="Arial Narrow"/>
          <w:spacing w:val="-1"/>
          <w:sz w:val="22"/>
          <w:szCs w:val="22"/>
          <w:lang w:val="es-ES"/>
        </w:rPr>
        <w:t xml:space="preserve"> la vigencia 2024</w:t>
      </w:r>
      <w:r w:rsidR="008D17D2">
        <w:rPr>
          <w:rFonts w:ascii="Arial Narrow" w:hAnsi="Arial Narrow"/>
          <w:spacing w:val="-1"/>
          <w:sz w:val="22"/>
          <w:szCs w:val="22"/>
          <w:lang w:val="es-ES"/>
        </w:rPr>
        <w:t xml:space="preserve"> y para </w:t>
      </w:r>
      <w:r w:rsidR="006F1AB7">
        <w:rPr>
          <w:rFonts w:ascii="Arial Narrow" w:hAnsi="Arial Narrow"/>
          <w:spacing w:val="-1"/>
          <w:sz w:val="22"/>
          <w:szCs w:val="22"/>
          <w:lang w:val="es-ES"/>
        </w:rPr>
        <w:t xml:space="preserve">el mismo periodo de </w:t>
      </w:r>
      <w:r w:rsidR="008D17D2">
        <w:rPr>
          <w:rFonts w:ascii="Arial Narrow" w:hAnsi="Arial Narrow"/>
          <w:spacing w:val="-1"/>
          <w:sz w:val="22"/>
          <w:szCs w:val="22"/>
          <w:lang w:val="es-ES"/>
        </w:rPr>
        <w:t xml:space="preserve">la vigencia 2025  presento </w:t>
      </w:r>
      <w:r w:rsidR="00007261">
        <w:rPr>
          <w:rFonts w:ascii="Arial Narrow" w:hAnsi="Arial Narrow"/>
          <w:spacing w:val="-1"/>
          <w:sz w:val="22"/>
          <w:szCs w:val="22"/>
          <w:lang w:val="es-ES"/>
        </w:rPr>
        <w:t xml:space="preserve">causación por valor de </w:t>
      </w:r>
      <w:r w:rsidR="00007261" w:rsidRPr="00007261">
        <w:rPr>
          <w:rFonts w:ascii="Arial Narrow" w:hAnsi="Arial Narrow"/>
          <w:b/>
          <w:bCs/>
          <w:spacing w:val="-1"/>
          <w:sz w:val="22"/>
          <w:szCs w:val="22"/>
          <w:lang w:val="es-ES"/>
        </w:rPr>
        <w:t>$38.892.853</w:t>
      </w:r>
      <w:r w:rsidR="00F43AF9">
        <w:rPr>
          <w:rFonts w:ascii="Arial Narrow" w:hAnsi="Arial Narrow"/>
          <w:b/>
          <w:bCs/>
          <w:spacing w:val="-1"/>
          <w:sz w:val="22"/>
          <w:szCs w:val="22"/>
          <w:lang w:val="es-ES"/>
        </w:rPr>
        <w:t xml:space="preserve">, </w:t>
      </w:r>
      <w:r w:rsidR="00F43AF9">
        <w:rPr>
          <w:rFonts w:ascii="Arial Narrow" w:hAnsi="Arial Narrow"/>
          <w:spacing w:val="-1"/>
          <w:sz w:val="22"/>
          <w:szCs w:val="22"/>
          <w:lang w:val="es-ES"/>
        </w:rPr>
        <w:t xml:space="preserve">se </w:t>
      </w:r>
      <w:r w:rsidR="007C1012">
        <w:rPr>
          <w:rFonts w:ascii="Arial Narrow" w:hAnsi="Arial Narrow"/>
          <w:spacing w:val="-1"/>
          <w:sz w:val="22"/>
          <w:szCs w:val="22"/>
          <w:lang w:val="es-ES"/>
        </w:rPr>
        <w:t>realizó</w:t>
      </w:r>
      <w:r w:rsidR="00F43AF9">
        <w:rPr>
          <w:rFonts w:ascii="Arial Narrow" w:hAnsi="Arial Narrow"/>
          <w:spacing w:val="-1"/>
          <w:sz w:val="22"/>
          <w:szCs w:val="22"/>
          <w:lang w:val="es-ES"/>
        </w:rPr>
        <w:t xml:space="preserve"> mantenimiento </w:t>
      </w:r>
      <w:r w:rsidR="005312FA">
        <w:rPr>
          <w:rFonts w:ascii="Arial Narrow" w:hAnsi="Arial Narrow"/>
          <w:spacing w:val="-1"/>
          <w:sz w:val="22"/>
          <w:szCs w:val="22"/>
          <w:lang w:val="es-ES"/>
        </w:rPr>
        <w:t>al carro taller</w:t>
      </w:r>
      <w:r w:rsidR="007C1012">
        <w:rPr>
          <w:rFonts w:ascii="Arial Narrow" w:hAnsi="Arial Narrow"/>
          <w:spacing w:val="-1"/>
          <w:sz w:val="22"/>
          <w:szCs w:val="22"/>
          <w:lang w:val="es-ES"/>
        </w:rPr>
        <w:t xml:space="preserve"> </w:t>
      </w:r>
      <w:r w:rsidR="007C1012" w:rsidRPr="003A186F">
        <w:rPr>
          <w:rFonts w:ascii="Arial Narrow" w:hAnsi="Arial Narrow"/>
          <w:b/>
          <w:bCs/>
          <w:spacing w:val="-1"/>
          <w:sz w:val="22"/>
          <w:szCs w:val="22"/>
          <w:lang w:val="es-ES"/>
        </w:rPr>
        <w:t xml:space="preserve">$ </w:t>
      </w:r>
      <w:r w:rsidR="003A186F" w:rsidRPr="003A186F">
        <w:rPr>
          <w:rFonts w:ascii="Arial Narrow" w:hAnsi="Arial Narrow"/>
          <w:b/>
          <w:bCs/>
          <w:spacing w:val="-1"/>
          <w:sz w:val="22"/>
          <w:szCs w:val="22"/>
          <w:lang w:val="es-ES"/>
        </w:rPr>
        <w:t>4.133.491</w:t>
      </w:r>
      <w:r w:rsidR="005312FA">
        <w:rPr>
          <w:rFonts w:ascii="Arial Narrow" w:hAnsi="Arial Narrow"/>
          <w:spacing w:val="-1"/>
          <w:sz w:val="22"/>
          <w:szCs w:val="22"/>
          <w:lang w:val="es-ES"/>
        </w:rPr>
        <w:t xml:space="preserve">, </w:t>
      </w:r>
      <w:r w:rsidR="00391C60">
        <w:rPr>
          <w:rFonts w:ascii="Arial Narrow" w:hAnsi="Arial Narrow"/>
          <w:spacing w:val="-1"/>
          <w:sz w:val="22"/>
          <w:szCs w:val="22"/>
          <w:lang w:val="es-ES"/>
        </w:rPr>
        <w:t>carro canasta</w:t>
      </w:r>
      <w:r w:rsidR="003A186F">
        <w:rPr>
          <w:rFonts w:ascii="Arial Narrow" w:hAnsi="Arial Narrow"/>
          <w:spacing w:val="-1"/>
          <w:sz w:val="22"/>
          <w:szCs w:val="22"/>
          <w:lang w:val="es-ES"/>
        </w:rPr>
        <w:t xml:space="preserve"> </w:t>
      </w:r>
      <w:r w:rsidR="003A186F" w:rsidRPr="00BE1E68">
        <w:rPr>
          <w:rFonts w:ascii="Arial Narrow" w:hAnsi="Arial Narrow"/>
          <w:b/>
          <w:bCs/>
          <w:spacing w:val="-1"/>
          <w:sz w:val="22"/>
          <w:szCs w:val="22"/>
          <w:lang w:val="es-ES"/>
        </w:rPr>
        <w:t>$21.484.950</w:t>
      </w:r>
      <w:r w:rsidR="00391C60">
        <w:rPr>
          <w:rFonts w:ascii="Arial Narrow" w:hAnsi="Arial Narrow"/>
          <w:spacing w:val="-1"/>
          <w:sz w:val="22"/>
          <w:szCs w:val="22"/>
          <w:lang w:val="es-ES"/>
        </w:rPr>
        <w:t>, las motocicletas</w:t>
      </w:r>
      <w:r w:rsidR="00BE1E68">
        <w:rPr>
          <w:rFonts w:ascii="Arial Narrow" w:hAnsi="Arial Narrow"/>
          <w:spacing w:val="-1"/>
          <w:sz w:val="22"/>
          <w:szCs w:val="22"/>
          <w:lang w:val="es-ES"/>
        </w:rPr>
        <w:t xml:space="preserve"> </w:t>
      </w:r>
      <w:r w:rsidR="00BE1E68" w:rsidRPr="00BE1E68">
        <w:rPr>
          <w:rFonts w:ascii="Arial Narrow" w:hAnsi="Arial Narrow"/>
          <w:b/>
          <w:bCs/>
          <w:spacing w:val="-1"/>
          <w:sz w:val="22"/>
          <w:szCs w:val="22"/>
          <w:lang w:val="es-ES"/>
        </w:rPr>
        <w:t>$569.997</w:t>
      </w:r>
      <w:r w:rsidR="00CC5F4D">
        <w:rPr>
          <w:rFonts w:ascii="Arial Narrow" w:hAnsi="Arial Narrow"/>
          <w:b/>
          <w:bCs/>
          <w:spacing w:val="-1"/>
          <w:sz w:val="22"/>
          <w:szCs w:val="22"/>
          <w:lang w:val="es-ES"/>
        </w:rPr>
        <w:t>,</w:t>
      </w:r>
      <w:r w:rsidR="00391C60">
        <w:rPr>
          <w:rFonts w:ascii="Arial Narrow" w:hAnsi="Arial Narrow"/>
          <w:spacing w:val="-1"/>
          <w:sz w:val="22"/>
          <w:szCs w:val="22"/>
          <w:lang w:val="es-ES"/>
        </w:rPr>
        <w:t xml:space="preserve"> </w:t>
      </w:r>
      <w:r w:rsidR="00C175DA">
        <w:rPr>
          <w:rFonts w:ascii="Arial Narrow" w:hAnsi="Arial Narrow"/>
          <w:spacing w:val="-1"/>
          <w:sz w:val="22"/>
          <w:szCs w:val="22"/>
          <w:lang w:val="es-ES"/>
        </w:rPr>
        <w:t>mantenimiento a los muebles y enseres de</w:t>
      </w:r>
      <w:r w:rsidR="00BE1E68">
        <w:rPr>
          <w:rFonts w:ascii="Arial Narrow" w:hAnsi="Arial Narrow"/>
          <w:spacing w:val="-1"/>
          <w:sz w:val="22"/>
          <w:szCs w:val="22"/>
          <w:lang w:val="es-ES"/>
        </w:rPr>
        <w:t xml:space="preserve"> </w:t>
      </w:r>
      <w:r w:rsidR="00C175DA">
        <w:rPr>
          <w:rFonts w:ascii="Arial Narrow" w:hAnsi="Arial Narrow"/>
          <w:spacing w:val="-1"/>
          <w:sz w:val="22"/>
          <w:szCs w:val="22"/>
          <w:lang w:val="es-ES"/>
        </w:rPr>
        <w:t xml:space="preserve">la </w:t>
      </w:r>
      <w:r w:rsidR="00EF40D3">
        <w:rPr>
          <w:rFonts w:ascii="Arial Narrow" w:hAnsi="Arial Narrow"/>
          <w:spacing w:val="-1"/>
          <w:sz w:val="22"/>
          <w:szCs w:val="22"/>
          <w:lang w:val="es-ES"/>
        </w:rPr>
        <w:t>Entidad $</w:t>
      </w:r>
      <w:r w:rsidR="009E27CC">
        <w:rPr>
          <w:rFonts w:ascii="Arial Narrow" w:hAnsi="Arial Narrow"/>
          <w:b/>
          <w:bCs/>
          <w:spacing w:val="-1"/>
          <w:sz w:val="22"/>
          <w:szCs w:val="22"/>
          <w:lang w:val="es-ES"/>
        </w:rPr>
        <w:t xml:space="preserve">8.661.4155 </w:t>
      </w:r>
      <w:r w:rsidR="00E56311">
        <w:rPr>
          <w:rFonts w:ascii="Arial Narrow" w:hAnsi="Arial Narrow"/>
          <w:spacing w:val="-1"/>
          <w:sz w:val="22"/>
          <w:szCs w:val="22"/>
          <w:lang w:val="es-ES"/>
        </w:rPr>
        <w:t>y mantenimiento</w:t>
      </w:r>
      <w:r w:rsidR="00D01862">
        <w:rPr>
          <w:rFonts w:ascii="Arial Narrow" w:hAnsi="Arial Narrow"/>
          <w:spacing w:val="-1"/>
          <w:sz w:val="22"/>
          <w:szCs w:val="22"/>
          <w:lang w:val="es-ES"/>
        </w:rPr>
        <w:t xml:space="preserve"> de </w:t>
      </w:r>
      <w:r w:rsidR="000820F4">
        <w:rPr>
          <w:rFonts w:ascii="Arial Narrow" w:hAnsi="Arial Narrow"/>
          <w:spacing w:val="-1"/>
          <w:sz w:val="22"/>
          <w:szCs w:val="22"/>
          <w:lang w:val="es-ES"/>
        </w:rPr>
        <w:t xml:space="preserve">edificaciones </w:t>
      </w:r>
      <w:r w:rsidR="000820F4" w:rsidRPr="00D800D4">
        <w:rPr>
          <w:rFonts w:ascii="Arial Narrow" w:hAnsi="Arial Narrow"/>
          <w:b/>
          <w:bCs/>
          <w:spacing w:val="-1"/>
          <w:sz w:val="22"/>
          <w:szCs w:val="22"/>
          <w:lang w:val="es-ES"/>
        </w:rPr>
        <w:t>$</w:t>
      </w:r>
      <w:r w:rsidR="009E27CC">
        <w:rPr>
          <w:rFonts w:ascii="Arial Narrow" w:hAnsi="Arial Narrow"/>
          <w:b/>
          <w:bCs/>
          <w:spacing w:val="-1"/>
          <w:sz w:val="22"/>
          <w:szCs w:val="22"/>
          <w:lang w:val="es-ES"/>
        </w:rPr>
        <w:t>4.043.000</w:t>
      </w:r>
      <w:r w:rsidR="00384CAE" w:rsidRPr="00D800D4">
        <w:rPr>
          <w:rFonts w:ascii="Arial Narrow" w:hAnsi="Arial Narrow"/>
          <w:b/>
          <w:bCs/>
          <w:spacing w:val="-1"/>
          <w:sz w:val="22"/>
          <w:szCs w:val="22"/>
          <w:lang w:val="es-ES"/>
        </w:rPr>
        <w:t>.</w:t>
      </w:r>
    </w:p>
    <w:p w14:paraId="451949E1" w14:textId="722966EE" w:rsidR="001D00E6" w:rsidRPr="003100ED" w:rsidRDefault="001D00E6" w:rsidP="00A3180F">
      <w:pPr>
        <w:spacing w:after="120" w:line="276" w:lineRule="auto"/>
        <w:ind w:left="142"/>
        <w:jc w:val="both"/>
        <w:rPr>
          <w:rFonts w:ascii="Arial Narrow" w:hAnsi="Arial Narrow"/>
          <w:spacing w:val="-1"/>
          <w:sz w:val="22"/>
          <w:szCs w:val="22"/>
          <w:lang w:val="es-ES"/>
        </w:rPr>
      </w:pPr>
      <w:r w:rsidRPr="00264AAA">
        <w:rPr>
          <w:rFonts w:ascii="Arial Narrow" w:hAnsi="Arial Narrow"/>
          <w:b/>
          <w:spacing w:val="-1"/>
          <w:sz w:val="22"/>
          <w:szCs w:val="22"/>
          <w:lang w:val="es-ES"/>
        </w:rPr>
        <w:t>SERVICIOS PUBLICOS:</w:t>
      </w:r>
      <w:r w:rsidRPr="00264AAA">
        <w:rPr>
          <w:rFonts w:ascii="Arial Narrow" w:hAnsi="Arial Narrow"/>
          <w:spacing w:val="-1"/>
          <w:sz w:val="22"/>
          <w:szCs w:val="22"/>
          <w:lang w:val="es-ES"/>
        </w:rPr>
        <w:t xml:space="preserve"> Este rub</w:t>
      </w:r>
      <w:r w:rsidR="00CB0BA6" w:rsidRPr="00264AAA">
        <w:rPr>
          <w:rFonts w:ascii="Arial Narrow" w:hAnsi="Arial Narrow"/>
          <w:spacing w:val="-1"/>
          <w:sz w:val="22"/>
          <w:szCs w:val="22"/>
          <w:lang w:val="es-ES"/>
        </w:rPr>
        <w:t>r</w:t>
      </w:r>
      <w:r w:rsidRPr="00264AAA">
        <w:rPr>
          <w:rFonts w:ascii="Arial Narrow" w:hAnsi="Arial Narrow"/>
          <w:spacing w:val="-1"/>
          <w:sz w:val="22"/>
          <w:szCs w:val="22"/>
          <w:lang w:val="es-ES"/>
        </w:rPr>
        <w:t>o presentó un</w:t>
      </w:r>
      <w:r w:rsidR="00EA6BCE">
        <w:rPr>
          <w:rFonts w:ascii="Arial Narrow" w:hAnsi="Arial Narrow"/>
          <w:spacing w:val="-1"/>
          <w:sz w:val="22"/>
          <w:szCs w:val="22"/>
          <w:lang w:val="es-ES"/>
        </w:rPr>
        <w:t xml:space="preserve"> incremento de </w:t>
      </w:r>
      <w:r w:rsidR="00EA6BCE" w:rsidRPr="00EA6BCE">
        <w:rPr>
          <w:rFonts w:ascii="Arial Narrow" w:hAnsi="Arial Narrow"/>
          <w:b/>
          <w:bCs/>
          <w:spacing w:val="-1"/>
          <w:sz w:val="22"/>
          <w:szCs w:val="22"/>
          <w:lang w:val="es-ES"/>
        </w:rPr>
        <w:t>14%</w:t>
      </w:r>
      <w:r w:rsidR="00EA6BCE">
        <w:rPr>
          <w:rFonts w:ascii="Arial Narrow" w:hAnsi="Arial Narrow"/>
          <w:spacing w:val="-1"/>
          <w:sz w:val="22"/>
          <w:szCs w:val="22"/>
          <w:lang w:val="es-ES"/>
        </w:rPr>
        <w:t>,</w:t>
      </w:r>
      <w:r w:rsidR="00656D7D" w:rsidRPr="00264AAA">
        <w:rPr>
          <w:rFonts w:ascii="Arial Narrow" w:hAnsi="Arial Narrow"/>
          <w:spacing w:val="-1"/>
          <w:sz w:val="22"/>
          <w:szCs w:val="22"/>
          <w:lang w:val="es-ES"/>
        </w:rPr>
        <w:t xml:space="preserve"> por</w:t>
      </w:r>
      <w:r w:rsidRPr="00264AAA">
        <w:rPr>
          <w:rFonts w:ascii="Arial Narrow" w:hAnsi="Arial Narrow"/>
          <w:spacing w:val="-1"/>
          <w:sz w:val="22"/>
          <w:szCs w:val="22"/>
          <w:lang w:val="es-ES"/>
        </w:rPr>
        <w:t xml:space="preserve"> este rubro se cancela el servicio de internet</w:t>
      </w:r>
      <w:r w:rsidR="00F14340">
        <w:rPr>
          <w:rFonts w:ascii="Arial Narrow" w:hAnsi="Arial Narrow"/>
          <w:spacing w:val="-1"/>
          <w:sz w:val="22"/>
          <w:szCs w:val="22"/>
          <w:lang w:val="es-ES"/>
        </w:rPr>
        <w:t xml:space="preserve"> en el </w:t>
      </w:r>
      <w:r w:rsidR="006E1FA0">
        <w:rPr>
          <w:rFonts w:ascii="Arial Narrow" w:hAnsi="Arial Narrow"/>
          <w:spacing w:val="-1"/>
          <w:sz w:val="22"/>
          <w:szCs w:val="22"/>
          <w:lang w:val="es-ES"/>
        </w:rPr>
        <w:t xml:space="preserve">tercer trimestre 2024 se </w:t>
      </w:r>
      <w:r w:rsidR="00E56311">
        <w:rPr>
          <w:rFonts w:ascii="Arial Narrow" w:hAnsi="Arial Narrow"/>
          <w:spacing w:val="-1"/>
          <w:sz w:val="22"/>
          <w:szCs w:val="22"/>
          <w:lang w:val="es-ES"/>
        </w:rPr>
        <w:t>causó</w:t>
      </w:r>
      <w:r w:rsidR="006E1FA0">
        <w:rPr>
          <w:rFonts w:ascii="Arial Narrow" w:hAnsi="Arial Narrow"/>
          <w:spacing w:val="-1"/>
          <w:sz w:val="22"/>
          <w:szCs w:val="22"/>
          <w:lang w:val="es-ES"/>
        </w:rPr>
        <w:t xml:space="preserve"> </w:t>
      </w:r>
      <w:r w:rsidR="006E1FA0" w:rsidRPr="00A46543">
        <w:rPr>
          <w:rFonts w:ascii="Arial Narrow" w:hAnsi="Arial Narrow"/>
          <w:b/>
          <w:bCs/>
          <w:spacing w:val="-1"/>
          <w:sz w:val="22"/>
          <w:szCs w:val="22"/>
          <w:lang w:val="es-ES"/>
        </w:rPr>
        <w:t>$10.046.940</w:t>
      </w:r>
      <w:r w:rsidR="006E1FA0">
        <w:rPr>
          <w:rFonts w:ascii="Arial Narrow" w:hAnsi="Arial Narrow"/>
          <w:spacing w:val="-1"/>
          <w:sz w:val="22"/>
          <w:szCs w:val="22"/>
          <w:lang w:val="es-ES"/>
        </w:rPr>
        <w:t xml:space="preserve"> y el mismo trimestre 2025 se </w:t>
      </w:r>
      <w:r w:rsidR="00E56311">
        <w:rPr>
          <w:rFonts w:ascii="Arial Narrow" w:hAnsi="Arial Narrow"/>
          <w:spacing w:val="-1"/>
          <w:sz w:val="22"/>
          <w:szCs w:val="22"/>
          <w:lang w:val="es-ES"/>
        </w:rPr>
        <w:t>causó</w:t>
      </w:r>
      <w:r w:rsidR="006E1FA0">
        <w:rPr>
          <w:rFonts w:ascii="Arial Narrow" w:hAnsi="Arial Narrow"/>
          <w:spacing w:val="-1"/>
          <w:sz w:val="22"/>
          <w:szCs w:val="22"/>
          <w:lang w:val="es-ES"/>
        </w:rPr>
        <w:t xml:space="preserve"> </w:t>
      </w:r>
      <w:r w:rsidR="006E1FA0" w:rsidRPr="00A46543">
        <w:rPr>
          <w:rFonts w:ascii="Arial Narrow" w:hAnsi="Arial Narrow"/>
          <w:b/>
          <w:bCs/>
          <w:spacing w:val="-1"/>
          <w:sz w:val="22"/>
          <w:szCs w:val="22"/>
          <w:lang w:val="es-ES"/>
        </w:rPr>
        <w:t xml:space="preserve">$ </w:t>
      </w:r>
      <w:r w:rsidR="00E56311" w:rsidRPr="00A46543">
        <w:rPr>
          <w:rFonts w:ascii="Arial Narrow" w:hAnsi="Arial Narrow"/>
          <w:b/>
          <w:bCs/>
          <w:spacing w:val="-1"/>
          <w:sz w:val="22"/>
          <w:szCs w:val="22"/>
          <w:lang w:val="es-ES"/>
        </w:rPr>
        <w:t>14.991.672</w:t>
      </w:r>
      <w:r w:rsidR="00DA6C3C">
        <w:rPr>
          <w:rFonts w:ascii="Arial Narrow" w:hAnsi="Arial Narrow"/>
          <w:b/>
          <w:bCs/>
          <w:spacing w:val="-1"/>
          <w:sz w:val="22"/>
          <w:szCs w:val="22"/>
          <w:lang w:val="es-ES"/>
        </w:rPr>
        <w:t xml:space="preserve">, </w:t>
      </w:r>
    </w:p>
    <w:p w14:paraId="170ED83A" w14:textId="72DDA596" w:rsidR="0055490B" w:rsidRDefault="004B2856" w:rsidP="00A3180F">
      <w:pPr>
        <w:spacing w:after="120" w:line="276" w:lineRule="auto"/>
        <w:ind w:left="142"/>
        <w:jc w:val="both"/>
        <w:rPr>
          <w:rFonts w:ascii="Arial Narrow" w:hAnsi="Arial Narrow"/>
          <w:spacing w:val="-1"/>
          <w:sz w:val="22"/>
          <w:szCs w:val="22"/>
          <w:lang w:val="es-ES"/>
        </w:rPr>
      </w:pPr>
      <w:r>
        <w:rPr>
          <w:rFonts w:ascii="Arial Narrow" w:hAnsi="Arial Narrow"/>
          <w:spacing w:val="-1"/>
          <w:sz w:val="22"/>
          <w:szCs w:val="22"/>
          <w:lang w:val="es-ES"/>
        </w:rPr>
        <w:t>M</w:t>
      </w:r>
      <w:r w:rsidR="0055490B">
        <w:rPr>
          <w:rFonts w:ascii="Arial Narrow" w:hAnsi="Arial Narrow"/>
          <w:spacing w:val="-1"/>
          <w:sz w:val="22"/>
          <w:szCs w:val="22"/>
          <w:lang w:val="es-ES"/>
        </w:rPr>
        <w:t>ediciones a los indicadores ambientales en cuanto al uso del agua y energía</w:t>
      </w:r>
      <w:r w:rsidR="007A4112">
        <w:rPr>
          <w:rFonts w:ascii="Arial Narrow" w:hAnsi="Arial Narrow"/>
          <w:spacing w:val="-1"/>
          <w:sz w:val="22"/>
          <w:szCs w:val="22"/>
          <w:lang w:val="es-ES"/>
        </w:rPr>
        <w:t>.</w:t>
      </w:r>
    </w:p>
    <w:p w14:paraId="7C9088FC" w14:textId="77777777" w:rsidR="00973176" w:rsidRDefault="00973176" w:rsidP="00A3180F">
      <w:pPr>
        <w:spacing w:after="120" w:line="276" w:lineRule="auto"/>
        <w:ind w:left="142"/>
        <w:jc w:val="both"/>
        <w:rPr>
          <w:rFonts w:ascii="Arial Narrow" w:hAnsi="Arial Narrow"/>
          <w:b/>
          <w:bCs/>
          <w:spacing w:val="-1"/>
          <w:sz w:val="22"/>
          <w:szCs w:val="22"/>
          <w:lang w:val="es-ES"/>
        </w:rPr>
      </w:pPr>
    </w:p>
    <w:p w14:paraId="11E950E5" w14:textId="47C8C73F" w:rsidR="007F4E78" w:rsidRPr="002E3034" w:rsidRDefault="002E3034" w:rsidP="00A3180F">
      <w:pPr>
        <w:spacing w:after="120" w:line="276" w:lineRule="auto"/>
        <w:ind w:left="142"/>
        <w:jc w:val="both"/>
        <w:rPr>
          <w:rFonts w:ascii="Arial Narrow" w:hAnsi="Arial Narrow"/>
          <w:b/>
          <w:bCs/>
          <w:spacing w:val="-1"/>
          <w:sz w:val="22"/>
          <w:szCs w:val="22"/>
          <w:lang w:val="es-ES"/>
        </w:rPr>
      </w:pPr>
      <w:r w:rsidRPr="002E3034">
        <w:rPr>
          <w:rFonts w:ascii="Arial Narrow" w:hAnsi="Arial Narrow"/>
          <w:b/>
          <w:bCs/>
          <w:spacing w:val="-1"/>
          <w:sz w:val="22"/>
          <w:szCs w:val="22"/>
          <w:lang w:val="es-ES"/>
        </w:rPr>
        <w:t>INDICADORES AMBIENTALES</w:t>
      </w:r>
    </w:p>
    <w:p w14:paraId="4F084205" w14:textId="77777777" w:rsidR="00973176" w:rsidRPr="00F06652" w:rsidRDefault="00973176" w:rsidP="00973176">
      <w:pPr>
        <w:jc w:val="center"/>
        <w:rPr>
          <w:rFonts w:ascii="Arial Narrow" w:hAnsi="Arial Narrow"/>
          <w:b/>
          <w:bCs/>
          <w:lang w:val="es-MX"/>
        </w:rPr>
      </w:pPr>
    </w:p>
    <w:p w14:paraId="0AD98BA4" w14:textId="77777777" w:rsidR="00973176" w:rsidRPr="00F06652" w:rsidRDefault="00973176" w:rsidP="00CC54BD">
      <w:pPr>
        <w:rPr>
          <w:rFonts w:ascii="Arial Narrow" w:hAnsi="Arial Narrow"/>
          <w:b/>
          <w:bCs/>
          <w:lang w:val="es-MX"/>
        </w:rPr>
      </w:pPr>
      <w:r w:rsidRPr="00F06652">
        <w:rPr>
          <w:rFonts w:ascii="Arial Narrow" w:hAnsi="Arial Narrow"/>
          <w:b/>
          <w:bCs/>
          <w:lang w:val="es-MX"/>
        </w:rPr>
        <w:t>Indicadores de consumo de Agua.</w:t>
      </w:r>
    </w:p>
    <w:p w14:paraId="56CED38A" w14:textId="77777777" w:rsidR="00973176" w:rsidRPr="00F06652" w:rsidRDefault="00973176" w:rsidP="00973176">
      <w:pPr>
        <w:jc w:val="both"/>
        <w:rPr>
          <w:rFonts w:ascii="Arial Narrow" w:hAnsi="Arial Narrow"/>
          <w:b/>
          <w:bCs/>
          <w:lang w:val="es-MX"/>
        </w:rPr>
      </w:pPr>
    </w:p>
    <w:p w14:paraId="5796417A" w14:textId="77777777" w:rsidR="00973176" w:rsidRPr="00F06652" w:rsidRDefault="00973176" w:rsidP="00973176">
      <w:pPr>
        <w:jc w:val="both"/>
        <w:rPr>
          <w:rFonts w:ascii="Arial Narrow" w:hAnsi="Arial Narrow"/>
        </w:rPr>
      </w:pPr>
      <w:r w:rsidRPr="00F06652">
        <w:rPr>
          <w:rFonts w:ascii="Arial Narrow" w:hAnsi="Arial Narrow"/>
        </w:rPr>
        <w:t>El presente análisis corresponde al componente hídrico, en el cual se evalúan los principales indicadores de consumo, eficiencia y costos relacionados con el uso del agua. El objetivo es identificar el comportamiento del recurso y su impacto con el fin de garantizar un uso racional y sostenible dentro de las instalaciones institucionales.</w:t>
      </w:r>
    </w:p>
    <w:p w14:paraId="2FDB40A8" w14:textId="77777777" w:rsidR="00973176" w:rsidRDefault="00973176" w:rsidP="00AB0B8F"/>
    <w:p w14:paraId="720000EE" w14:textId="77777777" w:rsidR="00973176" w:rsidRDefault="00973176" w:rsidP="00AB0B8F"/>
    <w:p w14:paraId="3688F382" w14:textId="5668A6F7" w:rsidR="00973176" w:rsidRDefault="00C060B4" w:rsidP="00AB0B8F">
      <w:r w:rsidRPr="00F06652">
        <w:rPr>
          <w:rFonts w:ascii="Arial Narrow" w:hAnsi="Arial Narrow"/>
          <w:noProof/>
          <w:lang w:val="es-MX"/>
        </w:rPr>
        <w:lastRenderedPageBreak/>
        <w:drawing>
          <wp:inline distT="0" distB="0" distL="0" distR="0" wp14:anchorId="07DA231B" wp14:editId="3C9365B4">
            <wp:extent cx="5612130" cy="3612848"/>
            <wp:effectExtent l="0" t="0" r="7620" b="6985"/>
            <wp:docPr id="889522733"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22733" name="Imagen 1" descr="Gráfico&#10;&#10;El contenido generado por IA puede ser incorrecto."/>
                    <pic:cNvPicPr/>
                  </pic:nvPicPr>
                  <pic:blipFill>
                    <a:blip r:embed="rId11"/>
                    <a:stretch>
                      <a:fillRect/>
                    </a:stretch>
                  </pic:blipFill>
                  <pic:spPr>
                    <a:xfrm>
                      <a:off x="0" y="0"/>
                      <a:ext cx="5612130" cy="3612848"/>
                    </a:xfrm>
                    <a:prstGeom prst="rect">
                      <a:avLst/>
                    </a:prstGeom>
                  </pic:spPr>
                </pic:pic>
              </a:graphicData>
            </a:graphic>
          </wp:inline>
        </w:drawing>
      </w:r>
    </w:p>
    <w:p w14:paraId="5A664F50" w14:textId="77777777" w:rsidR="00EE7743" w:rsidRPr="00F06652" w:rsidRDefault="00EE7743" w:rsidP="00EE7743">
      <w:pPr>
        <w:jc w:val="center"/>
        <w:rPr>
          <w:rFonts w:ascii="Arial Narrow" w:hAnsi="Arial Narrow"/>
          <w:b/>
          <w:bCs/>
          <w:i/>
          <w:iCs/>
          <w:sz w:val="20"/>
          <w:szCs w:val="20"/>
          <w:lang w:val="es-MX"/>
        </w:rPr>
      </w:pPr>
      <w:r w:rsidRPr="00F06652">
        <w:rPr>
          <w:rFonts w:ascii="Arial Narrow" w:hAnsi="Arial Narrow"/>
          <w:b/>
          <w:bCs/>
          <w:i/>
          <w:iCs/>
          <w:sz w:val="20"/>
          <w:szCs w:val="20"/>
          <w:lang w:val="es-MX"/>
        </w:rPr>
        <w:t>Imagen 1. Indicadores de consumo de Agua.</w:t>
      </w:r>
    </w:p>
    <w:p w14:paraId="56E6EE5B" w14:textId="536F9DCE" w:rsidR="001D6284" w:rsidRDefault="001D6284" w:rsidP="00AB0B8F"/>
    <w:p w14:paraId="4B0AA4D4" w14:textId="77777777" w:rsidR="00415144" w:rsidRPr="00EF7B5C" w:rsidRDefault="00415144" w:rsidP="00415144">
      <w:pPr>
        <w:spacing w:after="120" w:line="276" w:lineRule="auto"/>
        <w:ind w:left="142"/>
        <w:jc w:val="both"/>
        <w:rPr>
          <w:rFonts w:ascii="Arial Narrow" w:hAnsi="Arial Narrow"/>
          <w:spacing w:val="-1"/>
          <w:sz w:val="22"/>
          <w:szCs w:val="22"/>
          <w:lang w:val="es-ES"/>
        </w:rPr>
      </w:pPr>
      <w:r w:rsidRPr="00EF7B5C">
        <w:rPr>
          <w:rFonts w:ascii="Arial Narrow" w:hAnsi="Arial Narrow"/>
          <w:spacing w:val="-1"/>
          <w:sz w:val="22"/>
          <w:szCs w:val="22"/>
          <w:lang w:val="es-ES"/>
        </w:rPr>
        <w:t>Fuente: Subgerencia Administrativa y Financiera</w:t>
      </w:r>
    </w:p>
    <w:p w14:paraId="39BB1CAB" w14:textId="77777777" w:rsidR="006157D9" w:rsidRDefault="006157D9" w:rsidP="00A3180F">
      <w:pPr>
        <w:spacing w:after="120" w:line="276" w:lineRule="auto"/>
        <w:ind w:left="142"/>
        <w:jc w:val="both"/>
        <w:rPr>
          <w:rFonts w:ascii="Arial Narrow" w:hAnsi="Arial Narrow"/>
          <w:spacing w:val="-1"/>
          <w:sz w:val="22"/>
          <w:szCs w:val="22"/>
          <w:lang w:val="es-ES"/>
        </w:rPr>
      </w:pPr>
    </w:p>
    <w:p w14:paraId="542B76F7" w14:textId="77777777" w:rsidR="0069114D" w:rsidRPr="00F06652" w:rsidRDefault="0069114D" w:rsidP="0069114D">
      <w:pPr>
        <w:jc w:val="center"/>
        <w:rPr>
          <w:rFonts w:ascii="Arial Narrow" w:hAnsi="Arial Narrow"/>
          <w:b/>
          <w:bCs/>
          <w:lang w:val="es-MX"/>
        </w:rPr>
      </w:pPr>
    </w:p>
    <w:p w14:paraId="227FB341" w14:textId="77777777" w:rsidR="0069114D" w:rsidRPr="00F06652" w:rsidRDefault="0069114D" w:rsidP="0069114D">
      <w:pPr>
        <w:jc w:val="both"/>
        <w:rPr>
          <w:rFonts w:ascii="Arial Narrow" w:hAnsi="Arial Narrow"/>
        </w:rPr>
      </w:pPr>
      <w:r w:rsidRPr="00F06652">
        <w:rPr>
          <w:rFonts w:ascii="Arial Narrow" w:hAnsi="Arial Narrow"/>
        </w:rPr>
        <w:t>Durante el periodo evaluado, el consumo total de agua presenta un comportamiento estable con ligeras fluctuaciones, manteniéndose en un promedio cercano a 30 m³ mensuales, con un rango entre 25 m³ y 40 m³. Estas variaciones son naturales y responden principalmente a factores operativos como cambios en la cantidad de personal. El consumo per cápita promedio fue de 0,66 m³/persona/mes, reflejando un uso eficiente del recurso. El indicador de eficiencia muestra comportamientos positivos en varios meses, indicando una reducción en el consumo frente al periodo anterior. En general, los resultados evidencian un desempeño ambiental favorable y coherente con los lineamientos de austeridad y sostenibilidad.</w:t>
      </w:r>
    </w:p>
    <w:p w14:paraId="180C9012" w14:textId="77777777" w:rsidR="0069114D" w:rsidRPr="00F06652" w:rsidRDefault="0069114D" w:rsidP="0069114D">
      <w:pPr>
        <w:jc w:val="both"/>
        <w:rPr>
          <w:rFonts w:ascii="Arial Narrow" w:hAnsi="Arial Narrow"/>
        </w:rPr>
      </w:pPr>
    </w:p>
    <w:p w14:paraId="34FFB2A5" w14:textId="77777777" w:rsidR="0069114D" w:rsidRPr="00F06652" w:rsidRDefault="0069114D" w:rsidP="0069114D">
      <w:pPr>
        <w:jc w:val="both"/>
        <w:rPr>
          <w:rFonts w:ascii="Arial Narrow" w:hAnsi="Arial Narrow"/>
        </w:rPr>
      </w:pPr>
      <w:r w:rsidRPr="00F06652">
        <w:rPr>
          <w:rFonts w:ascii="Arial Narrow" w:hAnsi="Arial Narrow"/>
        </w:rPr>
        <w:t>Por otro lado, el costo promedio mensual del servicio de agua fue cercano a $150.000, con variaciones proporcionales al consumo. Los meses de menor gasto coinciden con reducciones en el consumo, lo que refleja la efectividad de las acciones de ahorro y mantenimiento. El control del recurso no solo genera beneficios ambientales, sino también un impacto económico positivo, contribuyendo a la austeridad del gasto público.</w:t>
      </w:r>
    </w:p>
    <w:p w14:paraId="50752EF2" w14:textId="77777777" w:rsidR="0069114D" w:rsidRPr="00F06652" w:rsidRDefault="0069114D" w:rsidP="0069114D">
      <w:pPr>
        <w:jc w:val="both"/>
        <w:rPr>
          <w:rFonts w:ascii="Arial Narrow" w:hAnsi="Arial Narrow"/>
        </w:rPr>
      </w:pPr>
    </w:p>
    <w:p w14:paraId="17EC75ED" w14:textId="77777777" w:rsidR="00CE14DA" w:rsidRDefault="00CE14DA" w:rsidP="0069114D">
      <w:pPr>
        <w:jc w:val="both"/>
        <w:rPr>
          <w:rFonts w:ascii="Arial Narrow" w:hAnsi="Arial Narrow"/>
        </w:rPr>
      </w:pPr>
    </w:p>
    <w:p w14:paraId="4E463E1F" w14:textId="77777777" w:rsidR="00CE14DA" w:rsidRDefault="00CE14DA" w:rsidP="0069114D">
      <w:pPr>
        <w:jc w:val="both"/>
        <w:rPr>
          <w:rFonts w:ascii="Arial Narrow" w:hAnsi="Arial Narrow"/>
        </w:rPr>
      </w:pPr>
    </w:p>
    <w:p w14:paraId="3A96CCEF" w14:textId="6574D618" w:rsidR="0069114D" w:rsidRPr="00F06652" w:rsidRDefault="0069114D" w:rsidP="0069114D">
      <w:pPr>
        <w:jc w:val="both"/>
        <w:rPr>
          <w:rFonts w:ascii="Arial Narrow" w:hAnsi="Arial Narrow"/>
        </w:rPr>
      </w:pPr>
      <w:r w:rsidRPr="00F06652">
        <w:rPr>
          <w:rFonts w:ascii="Arial Narrow" w:hAnsi="Arial Narrow"/>
        </w:rPr>
        <w:lastRenderedPageBreak/>
        <w:t>El análisis del consumo per cápita muestra coherencia entre la cantidad de personas y el volumen total de agua utilizada. En los meses con menor personal se observan descensos proporcionales en el consumo, lo que demuestra que el uso del recurso está vinculado al nivel de actividad y no a pérdidas por fugas estructurales.</w:t>
      </w:r>
    </w:p>
    <w:p w14:paraId="4640D08E" w14:textId="77777777" w:rsidR="0069114D" w:rsidRPr="00F06652" w:rsidRDefault="0069114D" w:rsidP="0069114D">
      <w:pPr>
        <w:jc w:val="both"/>
        <w:rPr>
          <w:rFonts w:ascii="Arial Narrow" w:hAnsi="Arial Narrow"/>
        </w:rPr>
      </w:pPr>
    </w:p>
    <w:p w14:paraId="3F8DA85C" w14:textId="77777777" w:rsidR="0069114D" w:rsidRPr="00F06652" w:rsidRDefault="0069114D" w:rsidP="0069114D">
      <w:pPr>
        <w:jc w:val="both"/>
        <w:rPr>
          <w:rFonts w:ascii="Arial Narrow" w:hAnsi="Arial Narrow"/>
        </w:rPr>
      </w:pPr>
      <w:r w:rsidRPr="00F06652">
        <w:rPr>
          <w:rFonts w:ascii="Arial Narrow" w:hAnsi="Arial Narrow"/>
        </w:rPr>
        <w:t>En conclusión, el consumo de agua mantiene una tendencia estable, dentro de los límites esperados para las actividades rutinarias de la ESO Rionegro S.A.S. Las variaciones registradas tienen causas operativas controladas, sin indicios de ineficiencias estructurales. El vínculo entre consumo, personal y costos evidencia un manejo coherente del recurso.</w:t>
      </w:r>
    </w:p>
    <w:p w14:paraId="3880A3EB" w14:textId="77777777" w:rsidR="0069114D" w:rsidRPr="00F06652" w:rsidRDefault="0069114D" w:rsidP="0069114D">
      <w:pPr>
        <w:jc w:val="both"/>
        <w:rPr>
          <w:rFonts w:ascii="Arial Narrow" w:hAnsi="Arial Narrow"/>
        </w:rPr>
      </w:pPr>
    </w:p>
    <w:p w14:paraId="3A1D47B0" w14:textId="77777777" w:rsidR="0069114D" w:rsidRPr="00F06652" w:rsidRDefault="0069114D" w:rsidP="0069114D">
      <w:pPr>
        <w:jc w:val="both"/>
        <w:rPr>
          <w:rFonts w:ascii="Arial Narrow" w:hAnsi="Arial Narrow"/>
          <w:b/>
          <w:bCs/>
          <w:lang w:val="es-MX"/>
        </w:rPr>
      </w:pPr>
      <w:r w:rsidRPr="00F06652">
        <w:rPr>
          <w:rFonts w:ascii="Arial Narrow" w:hAnsi="Arial Narrow"/>
          <w:b/>
          <w:bCs/>
          <w:lang w:val="es-MX"/>
        </w:rPr>
        <w:t>Indicadores de consumo de Energía.</w:t>
      </w:r>
    </w:p>
    <w:p w14:paraId="1053F233" w14:textId="77777777" w:rsidR="0069114D" w:rsidRPr="00F06652" w:rsidRDefault="0069114D" w:rsidP="0069114D">
      <w:pPr>
        <w:jc w:val="both"/>
        <w:rPr>
          <w:rFonts w:ascii="Arial Narrow" w:hAnsi="Arial Narrow"/>
          <w:b/>
          <w:bCs/>
          <w:lang w:val="es-MX"/>
        </w:rPr>
      </w:pPr>
    </w:p>
    <w:p w14:paraId="7F7F3809" w14:textId="77777777" w:rsidR="0069114D" w:rsidRPr="00F06652" w:rsidRDefault="0069114D" w:rsidP="0069114D">
      <w:pPr>
        <w:jc w:val="both"/>
        <w:rPr>
          <w:rFonts w:ascii="Arial Narrow" w:hAnsi="Arial Narrow"/>
        </w:rPr>
      </w:pPr>
      <w:r w:rsidRPr="00F06652">
        <w:rPr>
          <w:rFonts w:ascii="Arial Narrow" w:hAnsi="Arial Narrow"/>
        </w:rPr>
        <w:t>A continuación, se presentan los indicadores asociados al consumo de energía, con el propósito de evidenciar las acciones de medición, seguimiento y control implementadas sobre este componente.</w:t>
      </w:r>
    </w:p>
    <w:p w14:paraId="4E95A33C" w14:textId="77777777" w:rsidR="0069114D" w:rsidRPr="00F06652" w:rsidRDefault="0069114D" w:rsidP="0069114D">
      <w:pPr>
        <w:jc w:val="both"/>
        <w:rPr>
          <w:rFonts w:ascii="Arial Narrow" w:hAnsi="Arial Narrow"/>
          <w:lang w:val="es-MX"/>
        </w:rPr>
      </w:pPr>
    </w:p>
    <w:p w14:paraId="5DA41946" w14:textId="77777777" w:rsidR="0069114D" w:rsidRPr="00F06652" w:rsidRDefault="0069114D" w:rsidP="0069114D">
      <w:pPr>
        <w:jc w:val="both"/>
        <w:rPr>
          <w:rFonts w:ascii="Arial Narrow" w:hAnsi="Arial Narrow"/>
          <w:lang w:val="es-MX"/>
        </w:rPr>
      </w:pPr>
    </w:p>
    <w:p w14:paraId="40D14DAB" w14:textId="44285DA8" w:rsidR="005C50BB" w:rsidRDefault="004F2A6B" w:rsidP="00124131">
      <w:pPr>
        <w:jc w:val="both"/>
        <w:rPr>
          <w:rFonts w:ascii="Arial Narrow" w:hAnsi="Arial Narrow"/>
          <w:spacing w:val="-1"/>
          <w:sz w:val="22"/>
          <w:szCs w:val="22"/>
          <w:lang w:val="es-ES"/>
        </w:rPr>
      </w:pPr>
      <w:r w:rsidRPr="00F06652">
        <w:rPr>
          <w:rFonts w:ascii="Arial Narrow" w:hAnsi="Arial Narrow"/>
          <w:noProof/>
          <w:lang w:val="es-MX"/>
        </w:rPr>
        <w:drawing>
          <wp:inline distT="0" distB="0" distL="0" distR="0" wp14:anchorId="5B9DBCFD" wp14:editId="0C1371F9">
            <wp:extent cx="5612130" cy="3468396"/>
            <wp:effectExtent l="0" t="0" r="7620" b="0"/>
            <wp:docPr id="1886772337" name="Imagen 1" descr="Gráfico, Gráfico de cajas y bigote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72337" name="Imagen 1" descr="Gráfico, Gráfico de cajas y bigotes&#10;&#10;El contenido generado por IA puede ser incorrecto."/>
                    <pic:cNvPicPr/>
                  </pic:nvPicPr>
                  <pic:blipFill>
                    <a:blip r:embed="rId12"/>
                    <a:stretch>
                      <a:fillRect/>
                    </a:stretch>
                  </pic:blipFill>
                  <pic:spPr>
                    <a:xfrm>
                      <a:off x="0" y="0"/>
                      <a:ext cx="5612130" cy="3468396"/>
                    </a:xfrm>
                    <a:prstGeom prst="rect">
                      <a:avLst/>
                    </a:prstGeom>
                  </pic:spPr>
                </pic:pic>
              </a:graphicData>
            </a:graphic>
          </wp:inline>
        </w:drawing>
      </w:r>
    </w:p>
    <w:p w14:paraId="08593B2F" w14:textId="77777777" w:rsidR="005C50BB" w:rsidRDefault="005C50BB" w:rsidP="00124131">
      <w:pPr>
        <w:jc w:val="both"/>
        <w:rPr>
          <w:rFonts w:ascii="Arial Narrow" w:hAnsi="Arial Narrow"/>
          <w:spacing w:val="-1"/>
          <w:sz w:val="22"/>
          <w:szCs w:val="22"/>
          <w:lang w:val="es-ES"/>
        </w:rPr>
      </w:pPr>
    </w:p>
    <w:p w14:paraId="5AA9F0D2" w14:textId="77777777" w:rsidR="00024D59" w:rsidRPr="00F06652" w:rsidRDefault="00024D59" w:rsidP="00024D59">
      <w:pPr>
        <w:jc w:val="center"/>
        <w:rPr>
          <w:rFonts w:ascii="Arial Narrow" w:hAnsi="Arial Narrow"/>
          <w:b/>
          <w:bCs/>
          <w:i/>
          <w:iCs/>
          <w:sz w:val="20"/>
          <w:szCs w:val="20"/>
          <w:lang w:val="es-MX"/>
        </w:rPr>
      </w:pPr>
      <w:r w:rsidRPr="00F06652">
        <w:rPr>
          <w:rFonts w:ascii="Arial Narrow" w:hAnsi="Arial Narrow"/>
          <w:b/>
          <w:bCs/>
          <w:i/>
          <w:iCs/>
          <w:sz w:val="20"/>
          <w:szCs w:val="20"/>
          <w:lang w:val="es-MX"/>
        </w:rPr>
        <w:t xml:space="preserve">Imagen </w:t>
      </w:r>
      <w:r>
        <w:rPr>
          <w:rFonts w:ascii="Arial Narrow" w:hAnsi="Arial Narrow"/>
          <w:b/>
          <w:bCs/>
          <w:i/>
          <w:iCs/>
          <w:sz w:val="20"/>
          <w:szCs w:val="20"/>
          <w:lang w:val="es-MX"/>
        </w:rPr>
        <w:t>2</w:t>
      </w:r>
      <w:r w:rsidRPr="00F06652">
        <w:rPr>
          <w:rFonts w:ascii="Arial Narrow" w:hAnsi="Arial Narrow"/>
          <w:b/>
          <w:bCs/>
          <w:i/>
          <w:iCs/>
          <w:sz w:val="20"/>
          <w:szCs w:val="20"/>
          <w:lang w:val="es-MX"/>
        </w:rPr>
        <w:t>. Indicadores de consumo de</w:t>
      </w:r>
      <w:r>
        <w:rPr>
          <w:rFonts w:ascii="Arial Narrow" w:hAnsi="Arial Narrow"/>
          <w:b/>
          <w:bCs/>
          <w:i/>
          <w:iCs/>
          <w:sz w:val="20"/>
          <w:szCs w:val="20"/>
          <w:lang w:val="es-MX"/>
        </w:rPr>
        <w:t xml:space="preserve"> Energía</w:t>
      </w:r>
      <w:r w:rsidRPr="00F06652">
        <w:rPr>
          <w:rFonts w:ascii="Arial Narrow" w:hAnsi="Arial Narrow"/>
          <w:b/>
          <w:bCs/>
          <w:i/>
          <w:iCs/>
          <w:sz w:val="20"/>
          <w:szCs w:val="20"/>
          <w:lang w:val="es-MX"/>
        </w:rPr>
        <w:t>.</w:t>
      </w:r>
    </w:p>
    <w:p w14:paraId="551FF4E0" w14:textId="77777777" w:rsidR="005C50BB" w:rsidRDefault="005C50BB" w:rsidP="00124131">
      <w:pPr>
        <w:jc w:val="both"/>
        <w:rPr>
          <w:rFonts w:ascii="Arial Narrow" w:hAnsi="Arial Narrow"/>
          <w:spacing w:val="-1"/>
          <w:sz w:val="22"/>
          <w:szCs w:val="22"/>
          <w:lang w:val="es-ES"/>
        </w:rPr>
      </w:pPr>
    </w:p>
    <w:p w14:paraId="7E4C8EE5" w14:textId="77777777" w:rsidR="00717286" w:rsidRDefault="00717286" w:rsidP="00124131">
      <w:pPr>
        <w:jc w:val="both"/>
        <w:rPr>
          <w:rFonts w:ascii="Arial Narrow" w:hAnsi="Arial Narrow"/>
          <w:spacing w:val="-1"/>
          <w:sz w:val="22"/>
          <w:szCs w:val="22"/>
          <w:lang w:val="es-ES"/>
        </w:rPr>
      </w:pPr>
    </w:p>
    <w:p w14:paraId="01B6BC63" w14:textId="0F538F06" w:rsidR="00717286" w:rsidRPr="00F06652" w:rsidRDefault="00717286" w:rsidP="00717286">
      <w:pPr>
        <w:jc w:val="both"/>
        <w:rPr>
          <w:rFonts w:ascii="Arial Narrow" w:hAnsi="Arial Narrow"/>
        </w:rPr>
      </w:pPr>
      <w:r w:rsidRPr="00F06652">
        <w:rPr>
          <w:rFonts w:ascii="Arial Narrow" w:hAnsi="Arial Narrow"/>
        </w:rPr>
        <w:t xml:space="preserve">Durante el periodo analizado, el consumo total de energía eléctrica presenta una tendencia moderadamente estable, con valores entre 1.430 kWh y 2.028 kWh mensuales, y un promedio cercano a 1.600 kWh/mes. Estas variaciones responden principalmente a la dinámica operativa y al número de personas </w:t>
      </w:r>
      <w:r w:rsidR="0069742B" w:rsidRPr="00F06652">
        <w:rPr>
          <w:rFonts w:ascii="Arial Narrow" w:hAnsi="Arial Narrow"/>
        </w:rPr>
        <w:t>vinculadas.</w:t>
      </w:r>
    </w:p>
    <w:p w14:paraId="5A65CCBF" w14:textId="77777777" w:rsidR="00717286" w:rsidRPr="00F06652" w:rsidRDefault="00717286" w:rsidP="00717286">
      <w:pPr>
        <w:jc w:val="both"/>
        <w:rPr>
          <w:rFonts w:ascii="Arial Narrow" w:hAnsi="Arial Narrow"/>
        </w:rPr>
      </w:pPr>
    </w:p>
    <w:p w14:paraId="0E6CB0BB" w14:textId="77777777" w:rsidR="00717286" w:rsidRPr="00F06652" w:rsidRDefault="00717286" w:rsidP="00717286">
      <w:pPr>
        <w:jc w:val="both"/>
        <w:rPr>
          <w:rFonts w:ascii="Arial Narrow" w:hAnsi="Arial Narrow"/>
        </w:rPr>
      </w:pPr>
      <w:r w:rsidRPr="00F06652">
        <w:rPr>
          <w:rFonts w:ascii="Arial Narrow" w:hAnsi="Arial Narrow"/>
        </w:rPr>
        <w:lastRenderedPageBreak/>
        <w:t>El consumo per cápita se mantiene en torno a 35 kWh/persona/mes, lo cual es considerado un rango adecuado para instalaciones administrativas y operativas con equipos de oficina, sistemas de iluminación y dispositivos eléctricos de uso continuo. El consumo más bajo se observa en mayo (1.430 kWh), coincidiendo con una menor ocupación y actividades más controladas.</w:t>
      </w:r>
    </w:p>
    <w:p w14:paraId="7AC4AB47" w14:textId="77777777" w:rsidR="00717286" w:rsidRPr="00F06652" w:rsidRDefault="00717286" w:rsidP="00717286">
      <w:pPr>
        <w:jc w:val="both"/>
        <w:rPr>
          <w:rFonts w:ascii="Arial Narrow" w:hAnsi="Arial Narrow"/>
        </w:rPr>
      </w:pPr>
    </w:p>
    <w:p w14:paraId="65EBCF95" w14:textId="77777777" w:rsidR="00717286" w:rsidRPr="00F06652" w:rsidRDefault="00717286" w:rsidP="00717286">
      <w:pPr>
        <w:jc w:val="both"/>
        <w:rPr>
          <w:rFonts w:ascii="Arial Narrow" w:hAnsi="Arial Narrow"/>
        </w:rPr>
      </w:pPr>
      <w:r w:rsidRPr="00F06652">
        <w:rPr>
          <w:rFonts w:ascii="Arial Narrow" w:hAnsi="Arial Narrow"/>
        </w:rPr>
        <w:t>La tendencia general muestra una mejora progresiva en la eficiencia del uso eléctrico, lo que demuestra que las medidas de control implementadas como apagado de luminarias y equipos fuera de horario laboral han contribuido al uso racional de la energía.</w:t>
      </w:r>
    </w:p>
    <w:p w14:paraId="22876CA9" w14:textId="77777777" w:rsidR="00717286" w:rsidRPr="00F06652" w:rsidRDefault="00717286" w:rsidP="00717286">
      <w:pPr>
        <w:jc w:val="both"/>
        <w:rPr>
          <w:rFonts w:ascii="Arial Narrow" w:hAnsi="Arial Narrow"/>
        </w:rPr>
      </w:pPr>
    </w:p>
    <w:p w14:paraId="40604797" w14:textId="77777777" w:rsidR="00717286" w:rsidRPr="00F06652" w:rsidRDefault="00717286" w:rsidP="00717286">
      <w:pPr>
        <w:jc w:val="both"/>
        <w:rPr>
          <w:rFonts w:ascii="Arial Narrow" w:hAnsi="Arial Narrow"/>
        </w:rPr>
      </w:pPr>
      <w:r w:rsidRPr="00F06652">
        <w:rPr>
          <w:rFonts w:ascii="Arial Narrow" w:hAnsi="Arial Narrow"/>
        </w:rPr>
        <w:t>El costo promedio mensual del servicio eléctrico fue de aproximadamente $1.450.000, con variaciones directamente proporcionales al nivel de consumo. En los meses con menor consumo, se evidenció una reducción proporcional en el valor facturado, lo que demuestra que las estrategias de eficiencia energética generan impactos positivos tanto ambientales como económicos.</w:t>
      </w:r>
    </w:p>
    <w:p w14:paraId="48A74E89" w14:textId="77777777" w:rsidR="00717286" w:rsidRPr="00F06652" w:rsidRDefault="00717286" w:rsidP="00717286">
      <w:pPr>
        <w:jc w:val="both"/>
        <w:rPr>
          <w:rFonts w:ascii="Arial Narrow" w:hAnsi="Arial Narrow"/>
        </w:rPr>
      </w:pPr>
    </w:p>
    <w:p w14:paraId="557CC013" w14:textId="77777777" w:rsidR="00717286" w:rsidRPr="00F06652" w:rsidRDefault="00717286" w:rsidP="00717286">
      <w:pPr>
        <w:jc w:val="both"/>
        <w:rPr>
          <w:rFonts w:ascii="Arial Narrow" w:hAnsi="Arial Narrow"/>
        </w:rPr>
      </w:pPr>
      <w:r w:rsidRPr="00F06652">
        <w:rPr>
          <w:rFonts w:ascii="Arial Narrow" w:hAnsi="Arial Narrow"/>
        </w:rPr>
        <w:t>Finalmente, se entiende que el consumo de energía mantiene una tendencia controlada, con variaciones propias del número de personas y las actividades rutinarias de la empresa. Los costos asociados se comportan de manera proporcional al consumo, sin incrementos atípicos. El indicador de eficiencia energética refleja una mejora progresiva en el uso racional de la energía.</w:t>
      </w:r>
    </w:p>
    <w:p w14:paraId="2DE17EBB" w14:textId="77777777" w:rsidR="00717286" w:rsidRPr="00F06652" w:rsidRDefault="00717286" w:rsidP="00717286">
      <w:pPr>
        <w:jc w:val="both"/>
        <w:rPr>
          <w:rFonts w:ascii="Arial Narrow" w:hAnsi="Arial Narrow"/>
          <w:lang w:val="es-MX"/>
        </w:rPr>
      </w:pPr>
    </w:p>
    <w:p w14:paraId="3EC7A001" w14:textId="77777777" w:rsidR="00717286" w:rsidRPr="00F06652" w:rsidRDefault="00717286" w:rsidP="00717286">
      <w:pPr>
        <w:jc w:val="both"/>
        <w:rPr>
          <w:rFonts w:ascii="Arial Narrow" w:hAnsi="Arial Narrow"/>
          <w:b/>
          <w:bCs/>
          <w:lang w:val="es-MX"/>
        </w:rPr>
      </w:pPr>
      <w:r w:rsidRPr="00F06652">
        <w:rPr>
          <w:rFonts w:ascii="Arial Narrow" w:hAnsi="Arial Narrow"/>
          <w:b/>
          <w:bCs/>
          <w:lang w:val="es-MX"/>
        </w:rPr>
        <w:t>Generación de residuos aprovechables.</w:t>
      </w:r>
    </w:p>
    <w:p w14:paraId="0B521890" w14:textId="77777777" w:rsidR="00717286" w:rsidRPr="00F06652" w:rsidRDefault="00717286" w:rsidP="00717286">
      <w:pPr>
        <w:jc w:val="both"/>
        <w:rPr>
          <w:rFonts w:ascii="Arial Narrow" w:hAnsi="Arial Narrow"/>
          <w:b/>
          <w:bCs/>
          <w:lang w:val="es-MX"/>
        </w:rPr>
      </w:pPr>
    </w:p>
    <w:p w14:paraId="202D377F" w14:textId="678509C0" w:rsidR="00717286" w:rsidRDefault="00717286" w:rsidP="00717286">
      <w:pPr>
        <w:jc w:val="both"/>
        <w:rPr>
          <w:rFonts w:ascii="Arial Narrow" w:hAnsi="Arial Narrow"/>
          <w:lang w:val="es-MX"/>
        </w:rPr>
      </w:pPr>
      <w:r w:rsidRPr="00F06652">
        <w:rPr>
          <w:rFonts w:ascii="Arial Narrow" w:hAnsi="Arial Narrow"/>
          <w:lang w:val="es-MX"/>
        </w:rPr>
        <w:t>El manejo de residuos sólidos es un aspecto que permite optimizar los recursos y reducir los impactos ambientales asociados a las actividades de la empresa. A continuación, se hace referencia al seguimiento de la gestión de residuos aprovechables</w:t>
      </w:r>
    </w:p>
    <w:p w14:paraId="63F75148" w14:textId="77777777" w:rsidR="00717286" w:rsidRDefault="00717286" w:rsidP="00717286">
      <w:pPr>
        <w:jc w:val="both"/>
        <w:rPr>
          <w:rFonts w:ascii="Arial Narrow" w:hAnsi="Arial Narrow"/>
          <w:lang w:val="es-MX"/>
        </w:rPr>
      </w:pPr>
    </w:p>
    <w:p w14:paraId="781C36A0" w14:textId="77777777" w:rsidR="00717286" w:rsidRDefault="00717286" w:rsidP="00717286">
      <w:pPr>
        <w:jc w:val="both"/>
        <w:rPr>
          <w:rFonts w:ascii="Arial Narrow" w:hAnsi="Arial Narrow"/>
          <w:lang w:val="es-MX"/>
        </w:rPr>
      </w:pPr>
    </w:p>
    <w:p w14:paraId="5E4FDB5D" w14:textId="1637F48E" w:rsidR="00717286" w:rsidRDefault="00E74C04" w:rsidP="00717286">
      <w:pPr>
        <w:jc w:val="both"/>
        <w:rPr>
          <w:rFonts w:ascii="Arial Narrow" w:hAnsi="Arial Narrow"/>
          <w:spacing w:val="-1"/>
          <w:sz w:val="22"/>
          <w:szCs w:val="22"/>
          <w:lang w:val="es-ES"/>
        </w:rPr>
      </w:pPr>
      <w:r w:rsidRPr="00F06652">
        <w:rPr>
          <w:rFonts w:ascii="Arial Narrow" w:hAnsi="Arial Narrow"/>
          <w:noProof/>
        </w:rPr>
        <w:drawing>
          <wp:inline distT="0" distB="0" distL="0" distR="0" wp14:anchorId="7BADB1CA" wp14:editId="518A9A27">
            <wp:extent cx="4314825" cy="2695575"/>
            <wp:effectExtent l="0" t="0" r="9525" b="9525"/>
            <wp:docPr id="326176751" name="Gráfico 1">
              <a:extLst xmlns:a="http://schemas.openxmlformats.org/drawingml/2006/main">
                <a:ext uri="{FF2B5EF4-FFF2-40B4-BE49-F238E27FC236}">
                  <a16:creationId xmlns:a16="http://schemas.microsoft.com/office/drawing/2014/main" id="{49A3F943-94B7-5DD2-1E5B-7E16C29019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4B0B72" w14:textId="77777777" w:rsidR="005C50BB" w:rsidRDefault="005C50BB" w:rsidP="00124131">
      <w:pPr>
        <w:jc w:val="both"/>
        <w:rPr>
          <w:rFonts w:ascii="Arial Narrow" w:hAnsi="Arial Narrow"/>
          <w:spacing w:val="-1"/>
          <w:sz w:val="22"/>
          <w:szCs w:val="22"/>
          <w:lang w:val="es-ES"/>
        </w:rPr>
      </w:pPr>
    </w:p>
    <w:p w14:paraId="0A06BD42" w14:textId="77777777" w:rsidR="00A87ADA" w:rsidRDefault="00A87ADA" w:rsidP="00A87ADA">
      <w:pPr>
        <w:jc w:val="center"/>
        <w:rPr>
          <w:rFonts w:ascii="Arial Narrow" w:hAnsi="Arial Narrow"/>
          <w:b/>
          <w:bCs/>
          <w:i/>
          <w:iCs/>
          <w:sz w:val="20"/>
          <w:szCs w:val="20"/>
          <w:lang w:val="es-MX"/>
        </w:rPr>
      </w:pPr>
      <w:r w:rsidRPr="00F06652">
        <w:rPr>
          <w:rFonts w:ascii="Arial Narrow" w:hAnsi="Arial Narrow"/>
          <w:b/>
          <w:bCs/>
          <w:i/>
          <w:iCs/>
          <w:sz w:val="20"/>
          <w:szCs w:val="20"/>
          <w:lang w:val="es-MX"/>
        </w:rPr>
        <w:t xml:space="preserve">Imagen </w:t>
      </w:r>
      <w:r>
        <w:rPr>
          <w:rFonts w:ascii="Arial Narrow" w:hAnsi="Arial Narrow"/>
          <w:b/>
          <w:bCs/>
          <w:i/>
          <w:iCs/>
          <w:sz w:val="20"/>
          <w:szCs w:val="20"/>
          <w:lang w:val="es-MX"/>
        </w:rPr>
        <w:t>3</w:t>
      </w:r>
      <w:r w:rsidRPr="00F06652">
        <w:rPr>
          <w:rFonts w:ascii="Arial Narrow" w:hAnsi="Arial Narrow"/>
          <w:b/>
          <w:bCs/>
          <w:i/>
          <w:iCs/>
          <w:sz w:val="20"/>
          <w:szCs w:val="20"/>
          <w:lang w:val="es-MX"/>
        </w:rPr>
        <w:t xml:space="preserve">. </w:t>
      </w:r>
      <w:r>
        <w:rPr>
          <w:rFonts w:ascii="Arial Narrow" w:hAnsi="Arial Narrow"/>
          <w:b/>
          <w:bCs/>
          <w:i/>
          <w:iCs/>
          <w:sz w:val="20"/>
          <w:szCs w:val="20"/>
          <w:lang w:val="es-MX"/>
        </w:rPr>
        <w:t>Gestión de residuos aprovechables</w:t>
      </w:r>
      <w:r w:rsidRPr="00F06652">
        <w:rPr>
          <w:rFonts w:ascii="Arial Narrow" w:hAnsi="Arial Narrow"/>
          <w:b/>
          <w:bCs/>
          <w:i/>
          <w:iCs/>
          <w:sz w:val="20"/>
          <w:szCs w:val="20"/>
          <w:lang w:val="es-MX"/>
        </w:rPr>
        <w:t>.</w:t>
      </w:r>
    </w:p>
    <w:p w14:paraId="43A8A949" w14:textId="77777777" w:rsidR="005C50BB" w:rsidRDefault="005C50BB" w:rsidP="00124131">
      <w:pPr>
        <w:jc w:val="both"/>
        <w:rPr>
          <w:rFonts w:ascii="Arial Narrow" w:hAnsi="Arial Narrow"/>
          <w:spacing w:val="-1"/>
          <w:sz w:val="22"/>
          <w:szCs w:val="22"/>
          <w:lang w:val="es-ES"/>
        </w:rPr>
      </w:pPr>
    </w:p>
    <w:p w14:paraId="7603ED36" w14:textId="77777777" w:rsidR="003B5C31" w:rsidRPr="00F06652" w:rsidRDefault="003B5C31" w:rsidP="003B5C31">
      <w:pPr>
        <w:jc w:val="both"/>
        <w:rPr>
          <w:rFonts w:ascii="Arial Narrow" w:hAnsi="Arial Narrow"/>
          <w:lang w:val="es-MX"/>
        </w:rPr>
      </w:pPr>
      <w:r w:rsidRPr="00F06652">
        <w:rPr>
          <w:rFonts w:ascii="Arial Narrow" w:hAnsi="Arial Narrow"/>
          <w:lang w:val="es-MX"/>
        </w:rPr>
        <w:lastRenderedPageBreak/>
        <w:t>Durante el periodo de evaluación, se evidenció un fortalecimiento en las estrategias orientadas a la minimización en la generación de residuos, así como en el incremento de las prácticas de aprovechamiento y separación en la fuente.</w:t>
      </w:r>
    </w:p>
    <w:p w14:paraId="0FB02C1A" w14:textId="77777777" w:rsidR="003B5C31" w:rsidRPr="00F06652" w:rsidRDefault="003B5C31" w:rsidP="003B5C31">
      <w:pPr>
        <w:jc w:val="both"/>
        <w:rPr>
          <w:rFonts w:ascii="Arial Narrow" w:hAnsi="Arial Narrow"/>
          <w:lang w:val="es-MX"/>
        </w:rPr>
      </w:pPr>
      <w:r w:rsidRPr="00F06652">
        <w:rPr>
          <w:rFonts w:ascii="Arial Narrow" w:hAnsi="Arial Narrow"/>
          <w:lang w:val="es-MX"/>
        </w:rPr>
        <w:t xml:space="preserve"> </w:t>
      </w:r>
    </w:p>
    <w:p w14:paraId="7498A21B" w14:textId="77777777" w:rsidR="003B5C31" w:rsidRPr="00F06652" w:rsidRDefault="003B5C31" w:rsidP="003B5C31">
      <w:pPr>
        <w:jc w:val="both"/>
        <w:rPr>
          <w:rFonts w:ascii="Arial Narrow" w:hAnsi="Arial Narrow"/>
          <w:lang w:val="es-MX"/>
        </w:rPr>
      </w:pPr>
      <w:r w:rsidRPr="00F06652">
        <w:rPr>
          <w:rFonts w:ascii="Arial Narrow" w:hAnsi="Arial Narrow"/>
          <w:lang w:val="es-MX"/>
        </w:rPr>
        <w:t>La implementación de medidas de control y educación ambiental ha permitido que los residuos aprovechables, como papel, cartón, plásticos y metales, sean gestionados de manera diferenciada y entregados a organizaciones de recicladores formalmente constituidas. Esta práctica no solo contribuye al cumplimiento de la normatividad ambiental vigente, sino que también representa un ahorro indirecto en los costos asociados al transporte y disposición final de residuos no aprovechables.</w:t>
      </w:r>
    </w:p>
    <w:p w14:paraId="1E8FDCA6" w14:textId="77777777" w:rsidR="003B5C31" w:rsidRPr="00F06652" w:rsidRDefault="003B5C31" w:rsidP="003B5C31">
      <w:pPr>
        <w:jc w:val="both"/>
        <w:rPr>
          <w:rFonts w:ascii="Arial Narrow" w:hAnsi="Arial Narrow"/>
          <w:lang w:val="es-MX"/>
        </w:rPr>
      </w:pPr>
    </w:p>
    <w:p w14:paraId="10108315" w14:textId="77777777" w:rsidR="003B5C31" w:rsidRPr="00F06652" w:rsidRDefault="003B5C31" w:rsidP="003B5C31">
      <w:pPr>
        <w:jc w:val="both"/>
        <w:rPr>
          <w:rFonts w:ascii="Arial Narrow" w:hAnsi="Arial Narrow"/>
          <w:lang w:val="es-MX"/>
        </w:rPr>
      </w:pPr>
      <w:r w:rsidRPr="00F06652">
        <w:rPr>
          <w:rFonts w:ascii="Arial Narrow" w:hAnsi="Arial Narrow"/>
          <w:lang w:val="es-MX"/>
        </w:rPr>
        <w:t>El fortalecimiento del aprovechamiento de residuos permite cerrar ciclos de materiales, disminuir la presión sobre los sistemas de recolección y disposición, y generar beneficios económicos y sociales asociados al fomento de la economía circular. En este sentido, la entidad avanza hacia una gestión más eficiente y sostenible, donde la prevención, la reutilización y el reciclaje son pilares para el control del gasto público y la mejora del desempeño ambiental institucional.</w:t>
      </w:r>
    </w:p>
    <w:p w14:paraId="648167A3" w14:textId="77777777" w:rsidR="003B5C31" w:rsidRPr="00F06652" w:rsidRDefault="003B5C31" w:rsidP="003B5C31">
      <w:pPr>
        <w:jc w:val="both"/>
        <w:rPr>
          <w:rFonts w:ascii="Arial Narrow" w:hAnsi="Arial Narrow"/>
          <w:lang w:val="es-MX"/>
        </w:rPr>
      </w:pPr>
    </w:p>
    <w:p w14:paraId="5371BC18" w14:textId="77777777" w:rsidR="003B5C31" w:rsidRPr="00F06652" w:rsidRDefault="003B5C31" w:rsidP="003B5C31">
      <w:pPr>
        <w:jc w:val="both"/>
        <w:rPr>
          <w:rFonts w:ascii="Arial Narrow" w:hAnsi="Arial Narrow"/>
          <w:b/>
          <w:bCs/>
          <w:lang w:val="es-MX"/>
        </w:rPr>
      </w:pPr>
      <w:r w:rsidRPr="00F06652">
        <w:rPr>
          <w:rFonts w:ascii="Arial Narrow" w:hAnsi="Arial Narrow"/>
          <w:b/>
          <w:bCs/>
          <w:lang w:val="es-MX"/>
        </w:rPr>
        <w:t>Indicador de consumo de papel.</w:t>
      </w:r>
    </w:p>
    <w:p w14:paraId="4D49C36D" w14:textId="77777777" w:rsidR="003B5C31" w:rsidRPr="00F06652" w:rsidRDefault="003B5C31" w:rsidP="003B5C31">
      <w:pPr>
        <w:jc w:val="both"/>
        <w:rPr>
          <w:rFonts w:ascii="Arial Narrow" w:hAnsi="Arial Narrow"/>
          <w:b/>
          <w:bCs/>
          <w:lang w:val="es-MX"/>
        </w:rPr>
      </w:pPr>
    </w:p>
    <w:p w14:paraId="21DB1D38" w14:textId="77777777" w:rsidR="003B5C31" w:rsidRDefault="003B5C31" w:rsidP="003B5C31">
      <w:pPr>
        <w:jc w:val="center"/>
        <w:rPr>
          <w:rFonts w:ascii="Arial Narrow" w:hAnsi="Arial Narrow"/>
          <w:b/>
          <w:bCs/>
          <w:lang w:val="es-MX"/>
        </w:rPr>
      </w:pPr>
      <w:r w:rsidRPr="00F06652">
        <w:rPr>
          <w:rFonts w:ascii="Arial Narrow" w:hAnsi="Arial Narrow"/>
          <w:b/>
          <w:bCs/>
          <w:noProof/>
          <w:lang w:val="es-MX"/>
        </w:rPr>
        <w:drawing>
          <wp:inline distT="0" distB="0" distL="0" distR="0" wp14:anchorId="5CCA8A0B" wp14:editId="14265558">
            <wp:extent cx="5324475" cy="4062730"/>
            <wp:effectExtent l="0" t="0" r="9525" b="0"/>
            <wp:docPr id="298385194"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85194" name="Imagen 1" descr="Interfaz de usuario gráfica, Aplicación&#10;&#10;El contenido generado por IA puede ser incorrecto."/>
                    <pic:cNvPicPr/>
                  </pic:nvPicPr>
                  <pic:blipFill>
                    <a:blip r:embed="rId14"/>
                    <a:stretch>
                      <a:fillRect/>
                    </a:stretch>
                  </pic:blipFill>
                  <pic:spPr>
                    <a:xfrm>
                      <a:off x="0" y="0"/>
                      <a:ext cx="5331091" cy="4067778"/>
                    </a:xfrm>
                    <a:prstGeom prst="rect">
                      <a:avLst/>
                    </a:prstGeom>
                  </pic:spPr>
                </pic:pic>
              </a:graphicData>
            </a:graphic>
          </wp:inline>
        </w:drawing>
      </w:r>
    </w:p>
    <w:p w14:paraId="6DFCA10B" w14:textId="77777777" w:rsidR="003B5C31" w:rsidRPr="00F06652" w:rsidRDefault="003B5C31" w:rsidP="003B5C31">
      <w:pPr>
        <w:jc w:val="center"/>
        <w:rPr>
          <w:rFonts w:ascii="Arial Narrow" w:hAnsi="Arial Narrow"/>
          <w:b/>
          <w:bCs/>
          <w:i/>
          <w:iCs/>
          <w:sz w:val="20"/>
          <w:szCs w:val="20"/>
          <w:lang w:val="es-MX"/>
        </w:rPr>
      </w:pPr>
      <w:r w:rsidRPr="00F06652">
        <w:rPr>
          <w:rFonts w:ascii="Arial Narrow" w:hAnsi="Arial Narrow"/>
          <w:b/>
          <w:bCs/>
          <w:i/>
          <w:iCs/>
          <w:sz w:val="20"/>
          <w:szCs w:val="20"/>
          <w:lang w:val="es-MX"/>
        </w:rPr>
        <w:t xml:space="preserve">Imagen </w:t>
      </w:r>
      <w:r>
        <w:rPr>
          <w:rFonts w:ascii="Arial Narrow" w:hAnsi="Arial Narrow"/>
          <w:b/>
          <w:bCs/>
          <w:i/>
          <w:iCs/>
          <w:sz w:val="20"/>
          <w:szCs w:val="20"/>
          <w:lang w:val="es-MX"/>
        </w:rPr>
        <w:t>4</w:t>
      </w:r>
      <w:r w:rsidRPr="00F06652">
        <w:rPr>
          <w:rFonts w:ascii="Arial Narrow" w:hAnsi="Arial Narrow"/>
          <w:b/>
          <w:bCs/>
          <w:i/>
          <w:iCs/>
          <w:sz w:val="20"/>
          <w:szCs w:val="20"/>
          <w:lang w:val="es-MX"/>
        </w:rPr>
        <w:t>. In</w:t>
      </w:r>
      <w:r>
        <w:rPr>
          <w:rFonts w:ascii="Arial Narrow" w:hAnsi="Arial Narrow"/>
          <w:b/>
          <w:bCs/>
          <w:i/>
          <w:iCs/>
          <w:sz w:val="20"/>
          <w:szCs w:val="20"/>
          <w:lang w:val="es-MX"/>
        </w:rPr>
        <w:t>forme de impresiones periodo 10 sep-10 oct 2025</w:t>
      </w:r>
      <w:r w:rsidRPr="00F06652">
        <w:rPr>
          <w:rFonts w:ascii="Arial Narrow" w:hAnsi="Arial Narrow"/>
          <w:b/>
          <w:bCs/>
          <w:i/>
          <w:iCs/>
          <w:sz w:val="20"/>
          <w:szCs w:val="20"/>
          <w:lang w:val="es-MX"/>
        </w:rPr>
        <w:t>.</w:t>
      </w:r>
    </w:p>
    <w:p w14:paraId="0FBB0994" w14:textId="77777777" w:rsidR="003B5C31" w:rsidRPr="00F06652" w:rsidRDefault="003B5C31" w:rsidP="003B5C31">
      <w:pPr>
        <w:jc w:val="both"/>
        <w:rPr>
          <w:rFonts w:ascii="Arial Narrow" w:hAnsi="Arial Narrow"/>
          <w:lang w:val="es-MX"/>
        </w:rPr>
      </w:pPr>
    </w:p>
    <w:p w14:paraId="3FE7FAC4" w14:textId="77777777" w:rsidR="00BF4CAE" w:rsidRPr="00EF7B5C" w:rsidRDefault="00BF4CAE" w:rsidP="00BF4CAE">
      <w:pPr>
        <w:spacing w:after="120" w:line="276" w:lineRule="auto"/>
        <w:ind w:left="142"/>
        <w:jc w:val="both"/>
        <w:rPr>
          <w:rFonts w:ascii="Arial Narrow" w:hAnsi="Arial Narrow"/>
          <w:spacing w:val="-1"/>
          <w:sz w:val="22"/>
          <w:szCs w:val="22"/>
          <w:lang w:val="es-ES"/>
        </w:rPr>
      </w:pPr>
      <w:r w:rsidRPr="00EF7B5C">
        <w:rPr>
          <w:rFonts w:ascii="Arial Narrow" w:hAnsi="Arial Narrow"/>
          <w:spacing w:val="-1"/>
          <w:sz w:val="22"/>
          <w:szCs w:val="22"/>
          <w:lang w:val="es-ES"/>
        </w:rPr>
        <w:t>Fuente: Subgerencia Administrativa y Financiera</w:t>
      </w:r>
    </w:p>
    <w:p w14:paraId="156B1982" w14:textId="06702951" w:rsidR="003B5C31" w:rsidRPr="00F06652" w:rsidRDefault="003B5C31" w:rsidP="003B5C31">
      <w:pPr>
        <w:jc w:val="both"/>
        <w:rPr>
          <w:rFonts w:ascii="Arial Narrow" w:hAnsi="Arial Narrow"/>
        </w:rPr>
      </w:pPr>
      <w:r w:rsidRPr="004A7B5D">
        <w:rPr>
          <w:rFonts w:ascii="Arial Narrow" w:hAnsi="Arial Narrow"/>
        </w:rPr>
        <w:lastRenderedPageBreak/>
        <w:t>En el marco de las estrategias de austeridad del gasto y sostenibilidad institucional, la entidad ha mostrado avances significativos en la gestión eficiente del consumo de papel. Durante el año 2025 s</w:t>
      </w:r>
      <w:r w:rsidRPr="00F06652">
        <w:rPr>
          <w:rFonts w:ascii="Arial Narrow" w:hAnsi="Arial Narrow"/>
        </w:rPr>
        <w:t xml:space="preserve">e realizó un </w:t>
      </w:r>
      <w:r w:rsidRPr="004A7B5D">
        <w:rPr>
          <w:rFonts w:ascii="Arial Narrow" w:hAnsi="Arial Narrow"/>
        </w:rPr>
        <w:t>contrato de outsourcing de impresoras, medida que ha permitido un mayor control y seguimiento sobre las impresiones realizadas en cada dependencia. Esta acción representa un paso importante hacia la optimización de los recursos, al facilitar la trazabilidad del consumo</w:t>
      </w:r>
      <w:r w:rsidRPr="00F06652">
        <w:rPr>
          <w:rFonts w:ascii="Arial Narrow" w:hAnsi="Arial Narrow"/>
        </w:rPr>
        <w:t>.</w:t>
      </w:r>
    </w:p>
    <w:p w14:paraId="48BE402E" w14:textId="77777777" w:rsidR="003B5C31" w:rsidRPr="004A7B5D" w:rsidRDefault="003B5C31" w:rsidP="003B5C31">
      <w:pPr>
        <w:jc w:val="both"/>
        <w:rPr>
          <w:rFonts w:ascii="Arial Narrow" w:hAnsi="Arial Narrow"/>
        </w:rPr>
      </w:pPr>
    </w:p>
    <w:p w14:paraId="45B10824" w14:textId="77777777" w:rsidR="003B5C31" w:rsidRPr="00F06652" w:rsidRDefault="003B5C31" w:rsidP="003B5C31">
      <w:pPr>
        <w:jc w:val="both"/>
        <w:rPr>
          <w:rFonts w:ascii="Arial Narrow" w:hAnsi="Arial Narrow"/>
        </w:rPr>
      </w:pPr>
      <w:r w:rsidRPr="004A7B5D">
        <w:rPr>
          <w:rFonts w:ascii="Arial Narrow" w:hAnsi="Arial Narrow"/>
        </w:rPr>
        <w:t>El sistema de gestión implementado permite identificar la cantidad de impresiones por usuario, lo que, sumado a la asignación de claves personales, ha fortalecido la responsabilidad individual y promovido un uso racional de los equipos. Este control ha contribuido a reducir la impresión de documentos innecesarios y ha fomentado la migración hacia medios digitales, en coherencia con las políticas institucionales de eficiencia administrativa y sostenibilidad ambiental</w:t>
      </w:r>
    </w:p>
    <w:p w14:paraId="33922858" w14:textId="77777777" w:rsidR="003B5C31" w:rsidRPr="004A7B5D" w:rsidRDefault="003B5C31" w:rsidP="003B5C31">
      <w:pPr>
        <w:jc w:val="both"/>
        <w:rPr>
          <w:rFonts w:ascii="Arial Narrow" w:hAnsi="Arial Narrow"/>
        </w:rPr>
      </w:pPr>
      <w:r w:rsidRPr="004A7B5D">
        <w:rPr>
          <w:rFonts w:ascii="Arial Narrow" w:hAnsi="Arial Narrow"/>
        </w:rPr>
        <w:t>.</w:t>
      </w:r>
    </w:p>
    <w:p w14:paraId="09227497" w14:textId="77777777" w:rsidR="003B5C31" w:rsidRPr="004A7B5D" w:rsidRDefault="003B5C31" w:rsidP="003B5C31">
      <w:pPr>
        <w:jc w:val="both"/>
        <w:rPr>
          <w:rFonts w:ascii="Arial Narrow" w:hAnsi="Arial Narrow"/>
        </w:rPr>
      </w:pPr>
      <w:r w:rsidRPr="004A7B5D">
        <w:rPr>
          <w:rFonts w:ascii="Arial Narrow" w:hAnsi="Arial Narrow"/>
        </w:rPr>
        <w:t>De manera complementaria, se ha desarrollado un proceso de sensibilización y capacitación del personal en buenas prácticas de impresión, promoviendo el uso del papel reciclado, la impresión a doble cara, y la revisión digital previa de los documentos antes de imprimir. Estas acciones han incidido positivamente en la disminución del consumo de papel, generando ahorros en los costos operativos y contribuyendo a la reducción del impacto ambiental derivado de la producción y disposición de este material</w:t>
      </w:r>
      <w:r>
        <w:rPr>
          <w:rFonts w:ascii="Arial Narrow" w:hAnsi="Arial Narrow"/>
        </w:rPr>
        <w:t>. E</w:t>
      </w:r>
      <w:r w:rsidRPr="004A7B5D">
        <w:rPr>
          <w:rFonts w:ascii="Arial Narrow" w:hAnsi="Arial Narrow"/>
        </w:rPr>
        <w:t>stas medidas reflejan una gestión responsable y comprometida con la austeridad del gasto público, demostrando que el control tecnológico, el seguimiento del consumo y la sensibilización del personal son estrategias efectivas para optimizar los recursos institucionales y avanzar hacia una cultura organizacional más sostenible.</w:t>
      </w:r>
    </w:p>
    <w:p w14:paraId="09DF7650" w14:textId="77777777" w:rsidR="003B5C31" w:rsidRDefault="003B5C31" w:rsidP="003B5C31">
      <w:pPr>
        <w:jc w:val="both"/>
        <w:rPr>
          <w:rFonts w:ascii="Arial Narrow" w:hAnsi="Arial Narrow"/>
          <w:lang w:val="es-MX"/>
        </w:rPr>
      </w:pPr>
    </w:p>
    <w:p w14:paraId="580D17E1" w14:textId="77777777" w:rsidR="00F02426" w:rsidRPr="00F06652" w:rsidRDefault="00F02426" w:rsidP="003B5C31">
      <w:pPr>
        <w:jc w:val="both"/>
        <w:rPr>
          <w:rFonts w:ascii="Arial Narrow" w:hAnsi="Arial Narrow"/>
          <w:lang w:val="es-MX"/>
        </w:rPr>
      </w:pPr>
    </w:p>
    <w:p w14:paraId="76341ED1" w14:textId="60516015" w:rsidR="001D00E6" w:rsidRDefault="00E2646C" w:rsidP="00A3180F">
      <w:pPr>
        <w:spacing w:after="120" w:line="276" w:lineRule="auto"/>
        <w:ind w:left="142"/>
        <w:jc w:val="both"/>
        <w:rPr>
          <w:rFonts w:ascii="Arial Narrow" w:hAnsi="Arial Narrow"/>
          <w:spacing w:val="-1"/>
          <w:sz w:val="22"/>
          <w:szCs w:val="22"/>
          <w:lang w:val="es-ES"/>
        </w:rPr>
      </w:pPr>
      <w:r w:rsidRPr="00E50EE2">
        <w:rPr>
          <w:rFonts w:ascii="Arial Narrow" w:hAnsi="Arial Narrow"/>
          <w:b/>
          <w:spacing w:val="-1"/>
          <w:sz w:val="22"/>
          <w:szCs w:val="22"/>
          <w:lang w:val="es-ES"/>
        </w:rPr>
        <w:t xml:space="preserve">IMPRESOS </w:t>
      </w:r>
      <w:r w:rsidR="00AD6120">
        <w:rPr>
          <w:rFonts w:ascii="Arial Narrow" w:hAnsi="Arial Narrow"/>
          <w:b/>
          <w:spacing w:val="-1"/>
          <w:sz w:val="22"/>
          <w:szCs w:val="22"/>
          <w:lang w:val="es-ES"/>
        </w:rPr>
        <w:t xml:space="preserve">PUBLICIDAD Y </w:t>
      </w:r>
      <w:r w:rsidRPr="00E50EE2">
        <w:rPr>
          <w:rFonts w:ascii="Arial Narrow" w:hAnsi="Arial Narrow"/>
          <w:b/>
          <w:spacing w:val="-1"/>
          <w:sz w:val="22"/>
          <w:szCs w:val="22"/>
          <w:lang w:val="es-ES"/>
        </w:rPr>
        <w:t>PUBLICACIONES</w:t>
      </w:r>
      <w:r w:rsidR="001D00E6" w:rsidRPr="00E50EE2">
        <w:rPr>
          <w:rFonts w:ascii="Arial Narrow" w:hAnsi="Arial Narrow"/>
          <w:spacing w:val="-1"/>
          <w:sz w:val="22"/>
          <w:szCs w:val="22"/>
          <w:lang w:val="es-ES"/>
        </w:rPr>
        <w:t xml:space="preserve">:  Este </w:t>
      </w:r>
      <w:r w:rsidR="00E70A07" w:rsidRPr="00E50EE2">
        <w:rPr>
          <w:rFonts w:ascii="Arial Narrow" w:hAnsi="Arial Narrow"/>
          <w:spacing w:val="-1"/>
          <w:sz w:val="22"/>
          <w:szCs w:val="22"/>
          <w:lang w:val="es-ES"/>
        </w:rPr>
        <w:t xml:space="preserve">rubro </w:t>
      </w:r>
      <w:r w:rsidR="00746C11">
        <w:rPr>
          <w:rFonts w:ascii="Arial Narrow" w:hAnsi="Arial Narrow"/>
          <w:spacing w:val="-1"/>
          <w:sz w:val="22"/>
          <w:szCs w:val="22"/>
          <w:lang w:val="es-ES"/>
        </w:rPr>
        <w:t xml:space="preserve">no presento </w:t>
      </w:r>
      <w:r w:rsidR="00CF68BC">
        <w:rPr>
          <w:rFonts w:ascii="Arial Narrow" w:hAnsi="Arial Narrow"/>
          <w:spacing w:val="-1"/>
          <w:sz w:val="22"/>
          <w:szCs w:val="22"/>
          <w:lang w:val="es-ES"/>
        </w:rPr>
        <w:t>causación</w:t>
      </w:r>
      <w:r w:rsidR="00746C11">
        <w:rPr>
          <w:rFonts w:ascii="Arial Narrow" w:hAnsi="Arial Narrow"/>
          <w:spacing w:val="-1"/>
          <w:sz w:val="22"/>
          <w:szCs w:val="22"/>
          <w:lang w:val="es-ES"/>
        </w:rPr>
        <w:t xml:space="preserve"> para </w:t>
      </w:r>
      <w:r w:rsidR="00B05222">
        <w:rPr>
          <w:rFonts w:ascii="Arial Narrow" w:hAnsi="Arial Narrow"/>
          <w:spacing w:val="-1"/>
          <w:sz w:val="22"/>
          <w:szCs w:val="22"/>
          <w:lang w:val="es-ES"/>
        </w:rPr>
        <w:t>el tercer</w:t>
      </w:r>
      <w:r w:rsidR="00A37775">
        <w:rPr>
          <w:rFonts w:ascii="Arial Narrow" w:hAnsi="Arial Narrow"/>
          <w:spacing w:val="-1"/>
          <w:sz w:val="22"/>
          <w:szCs w:val="22"/>
          <w:lang w:val="es-ES"/>
        </w:rPr>
        <w:t xml:space="preserve"> trimestre 2024</w:t>
      </w:r>
      <w:r w:rsidR="007000B9">
        <w:rPr>
          <w:rFonts w:ascii="Arial Narrow" w:hAnsi="Arial Narrow"/>
          <w:spacing w:val="-1"/>
          <w:sz w:val="22"/>
          <w:szCs w:val="22"/>
          <w:lang w:val="es-ES"/>
        </w:rPr>
        <w:t xml:space="preserve"> y para el tercer trimestre 2025 se </w:t>
      </w:r>
      <w:r w:rsidR="00B05222">
        <w:rPr>
          <w:rFonts w:ascii="Arial Narrow" w:hAnsi="Arial Narrow"/>
          <w:spacing w:val="-1"/>
          <w:sz w:val="22"/>
          <w:szCs w:val="22"/>
          <w:lang w:val="es-ES"/>
        </w:rPr>
        <w:t>causó</w:t>
      </w:r>
      <w:r w:rsidR="007000B9">
        <w:rPr>
          <w:rFonts w:ascii="Arial Narrow" w:hAnsi="Arial Narrow"/>
          <w:spacing w:val="-1"/>
          <w:sz w:val="22"/>
          <w:szCs w:val="22"/>
          <w:lang w:val="es-ES"/>
        </w:rPr>
        <w:t xml:space="preserve"> </w:t>
      </w:r>
      <w:r w:rsidR="007000B9" w:rsidRPr="00B05222">
        <w:rPr>
          <w:rFonts w:ascii="Arial Narrow" w:hAnsi="Arial Narrow"/>
          <w:b/>
          <w:bCs/>
          <w:spacing w:val="-1"/>
          <w:sz w:val="22"/>
          <w:szCs w:val="22"/>
          <w:lang w:val="es-ES"/>
        </w:rPr>
        <w:t xml:space="preserve">$ </w:t>
      </w:r>
      <w:r w:rsidR="00513BFD" w:rsidRPr="00B05222">
        <w:rPr>
          <w:rFonts w:ascii="Arial Narrow" w:hAnsi="Arial Narrow"/>
          <w:b/>
          <w:bCs/>
          <w:spacing w:val="-1"/>
          <w:sz w:val="22"/>
          <w:szCs w:val="22"/>
          <w:lang w:val="es-ES"/>
        </w:rPr>
        <w:t>12.981.234</w:t>
      </w:r>
      <w:r w:rsidR="00513BFD">
        <w:rPr>
          <w:rFonts w:ascii="Arial Narrow" w:hAnsi="Arial Narrow"/>
          <w:spacing w:val="-1"/>
          <w:sz w:val="22"/>
          <w:szCs w:val="22"/>
          <w:lang w:val="es-ES"/>
        </w:rPr>
        <w:t>.</w:t>
      </w:r>
      <w:r w:rsidR="00B05222">
        <w:rPr>
          <w:rFonts w:ascii="Arial Narrow" w:hAnsi="Arial Narrow"/>
          <w:spacing w:val="-1"/>
          <w:sz w:val="22"/>
          <w:szCs w:val="22"/>
          <w:lang w:val="es-ES"/>
        </w:rPr>
        <w:t xml:space="preserve"> Ya que se compro </w:t>
      </w:r>
      <w:r w:rsidR="00B815E0">
        <w:rPr>
          <w:rFonts w:ascii="Arial Narrow" w:hAnsi="Arial Narrow"/>
          <w:spacing w:val="-1"/>
          <w:sz w:val="22"/>
          <w:szCs w:val="22"/>
          <w:lang w:val="es-ES"/>
        </w:rPr>
        <w:t>elementos publicitarios para la feria aeronáutica, para las jornadas de marcación de motos de</w:t>
      </w:r>
      <w:r w:rsidR="00DF0F89">
        <w:rPr>
          <w:rFonts w:ascii="Arial Narrow" w:hAnsi="Arial Narrow"/>
          <w:spacing w:val="-1"/>
          <w:sz w:val="22"/>
          <w:szCs w:val="22"/>
          <w:lang w:val="es-ES"/>
        </w:rPr>
        <w:t xml:space="preserve"> </w:t>
      </w:r>
      <w:r w:rsidR="00B815E0">
        <w:rPr>
          <w:rFonts w:ascii="Arial Narrow" w:hAnsi="Arial Narrow"/>
          <w:spacing w:val="-1"/>
          <w:sz w:val="22"/>
          <w:szCs w:val="22"/>
          <w:lang w:val="es-ES"/>
        </w:rPr>
        <w:t xml:space="preserve">los municipios y para las actividades internas que </w:t>
      </w:r>
      <w:r w:rsidR="001A7CBE">
        <w:rPr>
          <w:rFonts w:ascii="Arial Narrow" w:hAnsi="Arial Narrow"/>
          <w:spacing w:val="-1"/>
          <w:sz w:val="22"/>
          <w:szCs w:val="22"/>
          <w:lang w:val="es-ES"/>
        </w:rPr>
        <w:t>desarrolla la Entidad.</w:t>
      </w:r>
    </w:p>
    <w:p w14:paraId="205611A5" w14:textId="0D164921" w:rsidR="00EE57A3" w:rsidRPr="001B0F52" w:rsidRDefault="00FA0B02" w:rsidP="00EE57A3">
      <w:pPr>
        <w:spacing w:after="120" w:line="276" w:lineRule="auto"/>
        <w:ind w:left="142"/>
        <w:jc w:val="both"/>
        <w:rPr>
          <w:rFonts w:ascii="Arial Narrow" w:hAnsi="Arial Narrow"/>
          <w:b/>
          <w:spacing w:val="-1"/>
          <w:sz w:val="22"/>
          <w:szCs w:val="22"/>
          <w:lang w:val="es-ES"/>
        </w:rPr>
      </w:pPr>
      <w:r w:rsidRPr="00EE57A3">
        <w:rPr>
          <w:rFonts w:ascii="Arial Narrow" w:hAnsi="Arial Narrow"/>
          <w:b/>
          <w:spacing w:val="-1"/>
          <w:sz w:val="22"/>
          <w:szCs w:val="22"/>
          <w:lang w:val="es-ES"/>
        </w:rPr>
        <w:t>SUMINISTRO DE PAPELERÌA</w:t>
      </w:r>
      <w:r w:rsidR="0055490B" w:rsidRPr="00EE57A3">
        <w:rPr>
          <w:rFonts w:ascii="Arial Narrow" w:hAnsi="Arial Narrow"/>
          <w:bCs/>
          <w:spacing w:val="-1"/>
          <w:sz w:val="22"/>
          <w:szCs w:val="22"/>
          <w:lang w:val="es-ES"/>
        </w:rPr>
        <w:t xml:space="preserve">:  Este rubro </w:t>
      </w:r>
      <w:r w:rsidR="007F4E78" w:rsidRPr="00EE57A3">
        <w:rPr>
          <w:rFonts w:ascii="Arial Narrow" w:hAnsi="Arial Narrow"/>
          <w:bCs/>
          <w:spacing w:val="-1"/>
          <w:sz w:val="22"/>
          <w:szCs w:val="22"/>
          <w:lang w:val="es-ES"/>
        </w:rPr>
        <w:t>presento un</w:t>
      </w:r>
      <w:r w:rsidR="00E9661F">
        <w:rPr>
          <w:rFonts w:ascii="Arial Narrow" w:hAnsi="Arial Narrow"/>
          <w:bCs/>
          <w:spacing w:val="-1"/>
          <w:sz w:val="22"/>
          <w:szCs w:val="22"/>
          <w:lang w:val="es-ES"/>
        </w:rPr>
        <w:t>a disminución d</w:t>
      </w:r>
      <w:r w:rsidR="00DB5D44">
        <w:rPr>
          <w:rFonts w:ascii="Arial Narrow" w:hAnsi="Arial Narrow"/>
          <w:bCs/>
          <w:spacing w:val="-1"/>
          <w:sz w:val="22"/>
          <w:szCs w:val="22"/>
          <w:lang w:val="es-ES"/>
        </w:rPr>
        <w:t xml:space="preserve">el </w:t>
      </w:r>
      <w:r w:rsidR="00A42C81" w:rsidRPr="00A42C81">
        <w:rPr>
          <w:rFonts w:ascii="Arial Narrow" w:hAnsi="Arial Narrow"/>
          <w:b/>
          <w:spacing w:val="-1"/>
          <w:sz w:val="22"/>
          <w:szCs w:val="22"/>
          <w:lang w:val="es-ES"/>
        </w:rPr>
        <w:t>-43</w:t>
      </w:r>
      <w:r w:rsidR="00885442" w:rsidRPr="00A42C81">
        <w:rPr>
          <w:rFonts w:ascii="Arial Narrow" w:hAnsi="Arial Narrow"/>
          <w:b/>
          <w:spacing w:val="-1"/>
          <w:sz w:val="22"/>
          <w:szCs w:val="22"/>
          <w:lang w:val="es-ES"/>
        </w:rPr>
        <w:t>%,</w:t>
      </w:r>
      <w:r w:rsidR="00885442">
        <w:rPr>
          <w:rFonts w:ascii="Arial Narrow" w:hAnsi="Arial Narrow"/>
          <w:b/>
          <w:spacing w:val="-1"/>
          <w:sz w:val="22"/>
          <w:szCs w:val="22"/>
          <w:lang w:val="es-ES"/>
        </w:rPr>
        <w:t xml:space="preserve"> </w:t>
      </w:r>
      <w:r w:rsidR="00982724">
        <w:rPr>
          <w:rFonts w:ascii="Arial Narrow" w:hAnsi="Arial Narrow"/>
          <w:bCs/>
          <w:spacing w:val="-1"/>
          <w:sz w:val="22"/>
          <w:szCs w:val="22"/>
          <w:lang w:val="es-ES"/>
        </w:rPr>
        <w:t xml:space="preserve">para </w:t>
      </w:r>
      <w:r w:rsidR="001B0F52">
        <w:rPr>
          <w:rFonts w:ascii="Arial Narrow" w:hAnsi="Arial Narrow"/>
          <w:bCs/>
          <w:spacing w:val="-1"/>
          <w:sz w:val="22"/>
          <w:szCs w:val="22"/>
          <w:lang w:val="es-ES"/>
        </w:rPr>
        <w:t xml:space="preserve">el </w:t>
      </w:r>
      <w:r w:rsidR="00197432">
        <w:rPr>
          <w:rFonts w:ascii="Arial Narrow" w:hAnsi="Arial Narrow"/>
          <w:bCs/>
          <w:spacing w:val="-1"/>
          <w:sz w:val="22"/>
          <w:szCs w:val="22"/>
          <w:lang w:val="es-ES"/>
        </w:rPr>
        <w:t>tercer</w:t>
      </w:r>
      <w:r w:rsidR="00982724">
        <w:rPr>
          <w:rFonts w:ascii="Arial Narrow" w:hAnsi="Arial Narrow"/>
          <w:bCs/>
          <w:spacing w:val="-1"/>
          <w:sz w:val="22"/>
          <w:szCs w:val="22"/>
          <w:lang w:val="es-ES"/>
        </w:rPr>
        <w:t xml:space="preserve"> trimestre 2024 se causó valor de </w:t>
      </w:r>
      <w:r w:rsidR="00982724" w:rsidRPr="001B0F52">
        <w:rPr>
          <w:rFonts w:ascii="Arial Narrow" w:hAnsi="Arial Narrow"/>
          <w:b/>
          <w:spacing w:val="-1"/>
          <w:sz w:val="22"/>
          <w:szCs w:val="22"/>
          <w:lang w:val="es-ES"/>
        </w:rPr>
        <w:t>$</w:t>
      </w:r>
      <w:r w:rsidR="00E9661F">
        <w:rPr>
          <w:rFonts w:ascii="Arial Narrow" w:hAnsi="Arial Narrow"/>
          <w:b/>
          <w:spacing w:val="-1"/>
          <w:sz w:val="22"/>
          <w:szCs w:val="22"/>
          <w:lang w:val="es-ES"/>
        </w:rPr>
        <w:t>4.315.364</w:t>
      </w:r>
      <w:r w:rsidR="00CC03A4">
        <w:rPr>
          <w:rFonts w:ascii="Arial Narrow" w:hAnsi="Arial Narrow"/>
          <w:bCs/>
          <w:spacing w:val="-1"/>
          <w:sz w:val="22"/>
          <w:szCs w:val="22"/>
          <w:lang w:val="es-ES"/>
        </w:rPr>
        <w:t xml:space="preserve"> y para el </w:t>
      </w:r>
      <w:r w:rsidR="00197432">
        <w:rPr>
          <w:rFonts w:ascii="Arial Narrow" w:hAnsi="Arial Narrow"/>
          <w:bCs/>
          <w:spacing w:val="-1"/>
          <w:sz w:val="22"/>
          <w:szCs w:val="22"/>
          <w:lang w:val="es-ES"/>
        </w:rPr>
        <w:t>tercer</w:t>
      </w:r>
      <w:r w:rsidR="0061421C">
        <w:rPr>
          <w:rFonts w:ascii="Arial Narrow" w:hAnsi="Arial Narrow"/>
          <w:bCs/>
          <w:spacing w:val="-1"/>
          <w:sz w:val="22"/>
          <w:szCs w:val="22"/>
          <w:lang w:val="es-ES"/>
        </w:rPr>
        <w:t xml:space="preserve"> trimestre</w:t>
      </w:r>
      <w:r w:rsidR="00CC03A4">
        <w:rPr>
          <w:rFonts w:ascii="Arial Narrow" w:hAnsi="Arial Narrow"/>
          <w:bCs/>
          <w:spacing w:val="-1"/>
          <w:sz w:val="22"/>
          <w:szCs w:val="22"/>
          <w:lang w:val="es-ES"/>
        </w:rPr>
        <w:t xml:space="preserve"> 2025 se </w:t>
      </w:r>
      <w:r w:rsidR="001B0F52">
        <w:rPr>
          <w:rFonts w:ascii="Arial Narrow" w:hAnsi="Arial Narrow"/>
          <w:bCs/>
          <w:spacing w:val="-1"/>
          <w:sz w:val="22"/>
          <w:szCs w:val="22"/>
          <w:lang w:val="es-ES"/>
        </w:rPr>
        <w:t>causó</w:t>
      </w:r>
      <w:r w:rsidR="00CC03A4">
        <w:rPr>
          <w:rFonts w:ascii="Arial Narrow" w:hAnsi="Arial Narrow"/>
          <w:bCs/>
          <w:spacing w:val="-1"/>
          <w:sz w:val="22"/>
          <w:szCs w:val="22"/>
          <w:lang w:val="es-ES"/>
        </w:rPr>
        <w:t xml:space="preserve"> </w:t>
      </w:r>
      <w:r w:rsidR="00CC03A4" w:rsidRPr="001B0F52">
        <w:rPr>
          <w:rFonts w:ascii="Arial Narrow" w:hAnsi="Arial Narrow"/>
          <w:b/>
          <w:spacing w:val="-1"/>
          <w:sz w:val="22"/>
          <w:szCs w:val="22"/>
          <w:lang w:val="es-ES"/>
        </w:rPr>
        <w:t>$</w:t>
      </w:r>
      <w:r w:rsidR="00E9661F">
        <w:rPr>
          <w:rFonts w:ascii="Arial Narrow" w:hAnsi="Arial Narrow"/>
          <w:b/>
          <w:spacing w:val="-1"/>
          <w:sz w:val="22"/>
          <w:szCs w:val="22"/>
          <w:lang w:val="es-ES"/>
        </w:rPr>
        <w:t>2.446.453</w:t>
      </w:r>
      <w:r w:rsidR="00582B6C" w:rsidRPr="001B0F52">
        <w:rPr>
          <w:rFonts w:ascii="Arial Narrow" w:hAnsi="Arial Narrow"/>
          <w:b/>
          <w:spacing w:val="-1"/>
          <w:sz w:val="22"/>
          <w:szCs w:val="22"/>
          <w:lang w:val="es-ES"/>
        </w:rPr>
        <w:t>.</w:t>
      </w:r>
    </w:p>
    <w:p w14:paraId="52D22BD2" w14:textId="05F6F213" w:rsidR="00FA0B02" w:rsidRDefault="00FA0B02" w:rsidP="00A3180F">
      <w:pPr>
        <w:spacing w:after="120" w:line="276" w:lineRule="auto"/>
        <w:ind w:left="142"/>
        <w:jc w:val="both"/>
        <w:rPr>
          <w:rFonts w:ascii="Arial Narrow" w:hAnsi="Arial Narrow"/>
          <w:bCs/>
          <w:spacing w:val="-1"/>
          <w:sz w:val="22"/>
          <w:szCs w:val="22"/>
          <w:lang w:val="es-ES"/>
        </w:rPr>
      </w:pPr>
      <w:r w:rsidRPr="00E44648">
        <w:rPr>
          <w:rFonts w:ascii="Arial Narrow" w:hAnsi="Arial Narrow"/>
          <w:b/>
          <w:spacing w:val="-1"/>
          <w:sz w:val="22"/>
          <w:szCs w:val="22"/>
          <w:lang w:val="es-ES"/>
        </w:rPr>
        <w:t xml:space="preserve">SERVICIOS DE ASEO Y CAFETERIA: </w:t>
      </w:r>
      <w:r w:rsidR="00CB0BA6" w:rsidRPr="00E44648">
        <w:rPr>
          <w:rFonts w:ascii="Arial Narrow" w:hAnsi="Arial Narrow"/>
          <w:bCs/>
          <w:spacing w:val="-1"/>
          <w:sz w:val="22"/>
          <w:szCs w:val="22"/>
          <w:lang w:val="es-ES"/>
        </w:rPr>
        <w:t>E</w:t>
      </w:r>
      <w:r w:rsidRPr="00E44648">
        <w:rPr>
          <w:rFonts w:ascii="Arial Narrow" w:hAnsi="Arial Narrow"/>
          <w:bCs/>
          <w:spacing w:val="-1"/>
          <w:sz w:val="22"/>
          <w:szCs w:val="22"/>
          <w:lang w:val="es-ES"/>
        </w:rPr>
        <w:t xml:space="preserve">ste rubro presento </w:t>
      </w:r>
      <w:r w:rsidR="00DF6715" w:rsidRPr="00E44648">
        <w:rPr>
          <w:rFonts w:ascii="Arial Narrow" w:hAnsi="Arial Narrow"/>
          <w:bCs/>
          <w:spacing w:val="-1"/>
          <w:sz w:val="22"/>
          <w:szCs w:val="22"/>
          <w:lang w:val="es-ES"/>
        </w:rPr>
        <w:t>un</w:t>
      </w:r>
      <w:r w:rsidR="000466C4">
        <w:rPr>
          <w:rFonts w:ascii="Arial Narrow" w:hAnsi="Arial Narrow"/>
          <w:bCs/>
          <w:spacing w:val="-1"/>
          <w:sz w:val="22"/>
          <w:szCs w:val="22"/>
          <w:lang w:val="es-ES"/>
        </w:rPr>
        <w:t xml:space="preserve"> incremento del </w:t>
      </w:r>
      <w:r w:rsidR="000466C4">
        <w:rPr>
          <w:rFonts w:ascii="Arial Narrow" w:hAnsi="Arial Narrow"/>
          <w:b/>
          <w:spacing w:val="-1"/>
          <w:sz w:val="22"/>
          <w:szCs w:val="22"/>
          <w:lang w:val="es-ES"/>
        </w:rPr>
        <w:t>20</w:t>
      </w:r>
      <w:r w:rsidR="00C45087" w:rsidRPr="0038079B">
        <w:rPr>
          <w:rFonts w:ascii="Arial Narrow" w:hAnsi="Arial Narrow"/>
          <w:b/>
          <w:spacing w:val="-1"/>
          <w:sz w:val="22"/>
          <w:szCs w:val="22"/>
          <w:lang w:val="es-ES"/>
        </w:rPr>
        <w:t>%</w:t>
      </w:r>
      <w:r w:rsidR="00FC0F23" w:rsidRPr="0038079B">
        <w:rPr>
          <w:rFonts w:ascii="Arial Narrow" w:hAnsi="Arial Narrow"/>
          <w:b/>
          <w:spacing w:val="-1"/>
          <w:sz w:val="22"/>
          <w:szCs w:val="22"/>
          <w:lang w:val="es-ES"/>
        </w:rPr>
        <w:t>,</w:t>
      </w:r>
      <w:r w:rsidR="00521BF6">
        <w:rPr>
          <w:rFonts w:ascii="Arial Narrow" w:hAnsi="Arial Narrow"/>
          <w:bCs/>
          <w:spacing w:val="-1"/>
          <w:sz w:val="22"/>
          <w:szCs w:val="22"/>
          <w:lang w:val="es-ES"/>
        </w:rPr>
        <w:t xml:space="preserve"> </w:t>
      </w:r>
      <w:r w:rsidR="00197432">
        <w:rPr>
          <w:rFonts w:ascii="Arial Narrow" w:hAnsi="Arial Narrow"/>
          <w:bCs/>
          <w:spacing w:val="-1"/>
          <w:sz w:val="22"/>
          <w:szCs w:val="22"/>
          <w:lang w:val="es-ES"/>
        </w:rPr>
        <w:t>tercer</w:t>
      </w:r>
      <w:r w:rsidR="00F60C67">
        <w:rPr>
          <w:rFonts w:ascii="Arial Narrow" w:hAnsi="Arial Narrow"/>
          <w:bCs/>
          <w:spacing w:val="-1"/>
          <w:sz w:val="22"/>
          <w:szCs w:val="22"/>
          <w:lang w:val="es-ES"/>
        </w:rPr>
        <w:t xml:space="preserve"> trimestre 202</w:t>
      </w:r>
      <w:r w:rsidR="003241D6">
        <w:rPr>
          <w:rFonts w:ascii="Arial Narrow" w:hAnsi="Arial Narrow"/>
          <w:bCs/>
          <w:spacing w:val="-1"/>
          <w:sz w:val="22"/>
          <w:szCs w:val="22"/>
          <w:lang w:val="es-ES"/>
        </w:rPr>
        <w:t>4</w:t>
      </w:r>
      <w:r w:rsidR="00F60C67">
        <w:rPr>
          <w:rFonts w:ascii="Arial Narrow" w:hAnsi="Arial Narrow"/>
          <w:bCs/>
          <w:spacing w:val="-1"/>
          <w:sz w:val="22"/>
          <w:szCs w:val="22"/>
          <w:lang w:val="es-ES"/>
        </w:rPr>
        <w:t xml:space="preserve">, se </w:t>
      </w:r>
      <w:r w:rsidR="00093D7D">
        <w:rPr>
          <w:rFonts w:ascii="Arial Narrow" w:hAnsi="Arial Narrow"/>
          <w:bCs/>
          <w:spacing w:val="-1"/>
          <w:sz w:val="22"/>
          <w:szCs w:val="22"/>
          <w:lang w:val="es-ES"/>
        </w:rPr>
        <w:t>causó</w:t>
      </w:r>
      <w:r w:rsidR="00F60C67">
        <w:rPr>
          <w:rFonts w:ascii="Arial Narrow" w:hAnsi="Arial Narrow"/>
          <w:bCs/>
          <w:spacing w:val="-1"/>
          <w:sz w:val="22"/>
          <w:szCs w:val="22"/>
          <w:lang w:val="es-ES"/>
        </w:rPr>
        <w:t xml:space="preserve"> </w:t>
      </w:r>
      <w:r w:rsidR="00F60C67" w:rsidRPr="002032D1">
        <w:rPr>
          <w:rFonts w:ascii="Arial Narrow" w:hAnsi="Arial Narrow"/>
          <w:b/>
          <w:spacing w:val="-1"/>
          <w:sz w:val="22"/>
          <w:szCs w:val="22"/>
          <w:lang w:val="es-ES"/>
        </w:rPr>
        <w:t>$</w:t>
      </w:r>
      <w:r w:rsidR="007C4681">
        <w:rPr>
          <w:rFonts w:ascii="Arial Narrow" w:hAnsi="Arial Narrow"/>
          <w:b/>
          <w:spacing w:val="-1"/>
          <w:sz w:val="22"/>
          <w:szCs w:val="22"/>
          <w:lang w:val="es-ES"/>
        </w:rPr>
        <w:t>4.</w:t>
      </w:r>
      <w:r w:rsidR="00251446">
        <w:rPr>
          <w:rFonts w:ascii="Arial Narrow" w:hAnsi="Arial Narrow"/>
          <w:b/>
          <w:spacing w:val="-1"/>
          <w:sz w:val="22"/>
          <w:szCs w:val="22"/>
          <w:lang w:val="es-ES"/>
        </w:rPr>
        <w:t>420.029</w:t>
      </w:r>
      <w:r w:rsidR="00093D7D">
        <w:rPr>
          <w:rFonts w:ascii="Arial Narrow" w:hAnsi="Arial Narrow"/>
          <w:bCs/>
          <w:spacing w:val="-1"/>
          <w:sz w:val="22"/>
          <w:szCs w:val="22"/>
          <w:lang w:val="es-ES"/>
        </w:rPr>
        <w:t xml:space="preserve"> por este servicio y para el mismo trimestre 202</w:t>
      </w:r>
      <w:r w:rsidR="00A00B74">
        <w:rPr>
          <w:rFonts w:ascii="Arial Narrow" w:hAnsi="Arial Narrow"/>
          <w:bCs/>
          <w:spacing w:val="-1"/>
          <w:sz w:val="22"/>
          <w:szCs w:val="22"/>
          <w:lang w:val="es-ES"/>
        </w:rPr>
        <w:t>5</w:t>
      </w:r>
      <w:r w:rsidR="00093D7D">
        <w:rPr>
          <w:rFonts w:ascii="Arial Narrow" w:hAnsi="Arial Narrow"/>
          <w:bCs/>
          <w:spacing w:val="-1"/>
          <w:sz w:val="22"/>
          <w:szCs w:val="22"/>
          <w:lang w:val="es-ES"/>
        </w:rPr>
        <w:t xml:space="preserve"> se causó </w:t>
      </w:r>
      <w:r w:rsidR="00093D7D" w:rsidRPr="002032D1">
        <w:rPr>
          <w:rFonts w:ascii="Arial Narrow" w:hAnsi="Arial Narrow"/>
          <w:b/>
          <w:spacing w:val="-1"/>
          <w:sz w:val="22"/>
          <w:szCs w:val="22"/>
          <w:lang w:val="es-ES"/>
        </w:rPr>
        <w:t xml:space="preserve">$ </w:t>
      </w:r>
      <w:r w:rsidR="00E93958">
        <w:rPr>
          <w:rFonts w:ascii="Arial Narrow" w:hAnsi="Arial Narrow"/>
          <w:b/>
          <w:spacing w:val="-1"/>
          <w:sz w:val="22"/>
          <w:szCs w:val="22"/>
          <w:lang w:val="es-ES"/>
        </w:rPr>
        <w:t>5.</w:t>
      </w:r>
      <w:r w:rsidR="00C607C1">
        <w:rPr>
          <w:rFonts w:ascii="Arial Narrow" w:hAnsi="Arial Narrow"/>
          <w:b/>
          <w:spacing w:val="-1"/>
          <w:sz w:val="22"/>
          <w:szCs w:val="22"/>
          <w:lang w:val="es-ES"/>
        </w:rPr>
        <w:t>303.067</w:t>
      </w:r>
      <w:r w:rsidR="00093D7D">
        <w:rPr>
          <w:rFonts w:ascii="Arial Narrow" w:hAnsi="Arial Narrow"/>
          <w:bCs/>
          <w:spacing w:val="-1"/>
          <w:sz w:val="22"/>
          <w:szCs w:val="22"/>
          <w:lang w:val="es-ES"/>
        </w:rPr>
        <w:t>.</w:t>
      </w:r>
    </w:p>
    <w:p w14:paraId="6B8CD41D" w14:textId="0127CCD8" w:rsidR="001D00E6" w:rsidRDefault="00603A17" w:rsidP="00A3180F">
      <w:pPr>
        <w:spacing w:after="120" w:line="276" w:lineRule="auto"/>
        <w:ind w:left="142"/>
        <w:jc w:val="both"/>
        <w:rPr>
          <w:rFonts w:ascii="Arial Narrow" w:hAnsi="Arial Narrow"/>
          <w:bCs/>
          <w:spacing w:val="-1"/>
          <w:sz w:val="22"/>
          <w:szCs w:val="22"/>
          <w:lang w:val="es-ES"/>
        </w:rPr>
      </w:pPr>
      <w:r w:rsidRPr="0065167F">
        <w:rPr>
          <w:rFonts w:ascii="Arial Narrow" w:hAnsi="Arial Narrow"/>
          <w:b/>
          <w:spacing w:val="-1"/>
          <w:sz w:val="22"/>
          <w:szCs w:val="22"/>
          <w:lang w:val="es-ES"/>
        </w:rPr>
        <w:t>HONORARIOS</w:t>
      </w:r>
      <w:r w:rsidR="001D00E6" w:rsidRPr="0065167F">
        <w:rPr>
          <w:rFonts w:ascii="Arial Narrow" w:hAnsi="Arial Narrow"/>
          <w:b/>
          <w:spacing w:val="-1"/>
          <w:sz w:val="22"/>
          <w:szCs w:val="22"/>
          <w:lang w:val="es-ES"/>
        </w:rPr>
        <w:t xml:space="preserve">: </w:t>
      </w:r>
      <w:r w:rsidR="001D00E6" w:rsidRPr="0065167F">
        <w:rPr>
          <w:rFonts w:ascii="Arial Narrow" w:hAnsi="Arial Narrow"/>
          <w:bCs/>
          <w:spacing w:val="-1"/>
          <w:sz w:val="22"/>
          <w:szCs w:val="22"/>
          <w:lang w:val="es-ES"/>
        </w:rPr>
        <w:t xml:space="preserve">Este </w:t>
      </w:r>
      <w:r w:rsidR="005671A9" w:rsidRPr="0065167F">
        <w:rPr>
          <w:rFonts w:ascii="Arial Narrow" w:hAnsi="Arial Narrow"/>
          <w:bCs/>
          <w:spacing w:val="-1"/>
          <w:sz w:val="22"/>
          <w:szCs w:val="22"/>
          <w:lang w:val="es-ES"/>
        </w:rPr>
        <w:t>rubro</w:t>
      </w:r>
      <w:r w:rsidR="002850BC" w:rsidRPr="0065167F">
        <w:rPr>
          <w:rFonts w:ascii="Arial Narrow" w:hAnsi="Arial Narrow"/>
          <w:bCs/>
          <w:spacing w:val="-1"/>
          <w:sz w:val="22"/>
          <w:szCs w:val="22"/>
          <w:lang w:val="es-ES"/>
        </w:rPr>
        <w:t xml:space="preserve"> present</w:t>
      </w:r>
      <w:r w:rsidR="00DB3225" w:rsidRPr="0065167F">
        <w:rPr>
          <w:rFonts w:ascii="Arial Narrow" w:hAnsi="Arial Narrow"/>
          <w:bCs/>
          <w:spacing w:val="-1"/>
          <w:sz w:val="22"/>
          <w:szCs w:val="22"/>
          <w:lang w:val="es-ES"/>
        </w:rPr>
        <w:t>o un</w:t>
      </w:r>
      <w:r w:rsidR="00FE09C7">
        <w:rPr>
          <w:rFonts w:ascii="Arial Narrow" w:hAnsi="Arial Narrow"/>
          <w:bCs/>
          <w:spacing w:val="-1"/>
          <w:sz w:val="22"/>
          <w:szCs w:val="22"/>
          <w:lang w:val="es-ES"/>
        </w:rPr>
        <w:t xml:space="preserve">a disminución del </w:t>
      </w:r>
      <w:r w:rsidR="002858D5" w:rsidRPr="008203C6">
        <w:rPr>
          <w:rFonts w:ascii="Arial Narrow" w:hAnsi="Arial Narrow"/>
          <w:b/>
          <w:spacing w:val="-1"/>
          <w:sz w:val="22"/>
          <w:szCs w:val="22"/>
          <w:lang w:val="es-ES"/>
        </w:rPr>
        <w:t>-</w:t>
      </w:r>
      <w:r w:rsidR="00D84E84">
        <w:rPr>
          <w:rFonts w:ascii="Arial Narrow" w:hAnsi="Arial Narrow"/>
          <w:b/>
          <w:spacing w:val="-1"/>
          <w:sz w:val="22"/>
          <w:szCs w:val="22"/>
          <w:lang w:val="es-ES"/>
        </w:rPr>
        <w:t>75</w:t>
      </w:r>
      <w:r w:rsidR="00FE09C7" w:rsidRPr="008203C6">
        <w:rPr>
          <w:rFonts w:ascii="Arial Narrow" w:hAnsi="Arial Narrow"/>
          <w:b/>
          <w:spacing w:val="-1"/>
          <w:sz w:val="22"/>
          <w:szCs w:val="22"/>
          <w:lang w:val="es-ES"/>
        </w:rPr>
        <w:t>%,</w:t>
      </w:r>
      <w:r w:rsidR="00FE09C7">
        <w:rPr>
          <w:rFonts w:ascii="Arial Narrow" w:hAnsi="Arial Narrow"/>
          <w:bCs/>
          <w:spacing w:val="-1"/>
          <w:sz w:val="22"/>
          <w:szCs w:val="22"/>
          <w:lang w:val="es-ES"/>
        </w:rPr>
        <w:t xml:space="preserve"> esto se debe a </w:t>
      </w:r>
      <w:r w:rsidR="002721A1">
        <w:rPr>
          <w:rFonts w:ascii="Arial Narrow" w:hAnsi="Arial Narrow"/>
          <w:bCs/>
          <w:spacing w:val="-1"/>
          <w:sz w:val="22"/>
          <w:szCs w:val="22"/>
          <w:lang w:val="es-ES"/>
        </w:rPr>
        <w:t>que,</w:t>
      </w:r>
      <w:r w:rsidR="00FE09C7">
        <w:rPr>
          <w:rFonts w:ascii="Arial Narrow" w:hAnsi="Arial Narrow"/>
          <w:bCs/>
          <w:spacing w:val="-1"/>
          <w:sz w:val="22"/>
          <w:szCs w:val="22"/>
          <w:lang w:val="es-ES"/>
        </w:rPr>
        <w:t xml:space="preserve"> e</w:t>
      </w:r>
      <w:r w:rsidR="00461306">
        <w:rPr>
          <w:rFonts w:ascii="Arial Narrow" w:hAnsi="Arial Narrow"/>
          <w:bCs/>
          <w:spacing w:val="-1"/>
          <w:sz w:val="22"/>
          <w:szCs w:val="22"/>
          <w:lang w:val="es-ES"/>
        </w:rPr>
        <w:t xml:space="preserve">n el </w:t>
      </w:r>
      <w:r w:rsidR="002721A1">
        <w:rPr>
          <w:rFonts w:ascii="Arial Narrow" w:hAnsi="Arial Narrow"/>
          <w:bCs/>
          <w:spacing w:val="-1"/>
          <w:sz w:val="22"/>
          <w:szCs w:val="22"/>
          <w:lang w:val="es-ES"/>
        </w:rPr>
        <w:t>mes de enero 2025</w:t>
      </w:r>
      <w:r w:rsidR="002858D5">
        <w:rPr>
          <w:rFonts w:ascii="Arial Narrow" w:hAnsi="Arial Narrow"/>
          <w:bCs/>
          <w:spacing w:val="-1"/>
          <w:sz w:val="22"/>
          <w:szCs w:val="22"/>
          <w:lang w:val="es-ES"/>
        </w:rPr>
        <w:t>,</w:t>
      </w:r>
      <w:r w:rsidR="00FE09C7">
        <w:rPr>
          <w:rFonts w:ascii="Arial Narrow" w:hAnsi="Arial Narrow"/>
          <w:bCs/>
          <w:spacing w:val="-1"/>
          <w:sz w:val="22"/>
          <w:szCs w:val="22"/>
          <w:lang w:val="es-ES"/>
        </w:rPr>
        <w:t xml:space="preserve"> se </w:t>
      </w:r>
      <w:r w:rsidR="001D41A2">
        <w:rPr>
          <w:rFonts w:ascii="Arial Narrow" w:hAnsi="Arial Narrow"/>
          <w:bCs/>
          <w:spacing w:val="-1"/>
          <w:sz w:val="22"/>
          <w:szCs w:val="22"/>
          <w:lang w:val="es-ES"/>
        </w:rPr>
        <w:t>dio</w:t>
      </w:r>
      <w:r w:rsidR="003F3C14">
        <w:rPr>
          <w:rFonts w:ascii="Arial Narrow" w:hAnsi="Arial Narrow"/>
          <w:bCs/>
          <w:spacing w:val="-1"/>
          <w:sz w:val="22"/>
          <w:szCs w:val="22"/>
          <w:lang w:val="es-ES"/>
        </w:rPr>
        <w:t xml:space="preserve"> la vinculación del personal que se encontraba </w:t>
      </w:r>
      <w:r w:rsidR="00160C41">
        <w:rPr>
          <w:rFonts w:ascii="Arial Narrow" w:hAnsi="Arial Narrow"/>
          <w:bCs/>
          <w:spacing w:val="-1"/>
          <w:sz w:val="22"/>
          <w:szCs w:val="22"/>
          <w:lang w:val="es-ES"/>
        </w:rPr>
        <w:t xml:space="preserve">laborando </w:t>
      </w:r>
      <w:r w:rsidR="004F381B">
        <w:rPr>
          <w:rFonts w:ascii="Arial Narrow" w:hAnsi="Arial Narrow"/>
          <w:bCs/>
          <w:spacing w:val="-1"/>
          <w:sz w:val="22"/>
          <w:szCs w:val="22"/>
          <w:lang w:val="es-ES"/>
        </w:rPr>
        <w:t xml:space="preserve">con contrato </w:t>
      </w:r>
      <w:r w:rsidR="002721A1">
        <w:rPr>
          <w:rFonts w:ascii="Arial Narrow" w:hAnsi="Arial Narrow"/>
          <w:bCs/>
          <w:spacing w:val="-1"/>
          <w:sz w:val="22"/>
          <w:szCs w:val="22"/>
          <w:lang w:val="es-ES"/>
        </w:rPr>
        <w:t>de prestación</w:t>
      </w:r>
      <w:r w:rsidR="003F3C14">
        <w:rPr>
          <w:rFonts w:ascii="Arial Narrow" w:hAnsi="Arial Narrow"/>
          <w:bCs/>
          <w:spacing w:val="-1"/>
          <w:sz w:val="22"/>
          <w:szCs w:val="22"/>
          <w:lang w:val="es-ES"/>
        </w:rPr>
        <w:t xml:space="preserve"> de servicios.</w:t>
      </w:r>
    </w:p>
    <w:p w14:paraId="740C46C1" w14:textId="036E4E3D" w:rsidR="00DB3225" w:rsidRPr="00E945A7" w:rsidRDefault="00DB3225" w:rsidP="00A3180F">
      <w:pPr>
        <w:spacing w:after="120" w:line="276" w:lineRule="auto"/>
        <w:ind w:left="142"/>
        <w:jc w:val="both"/>
        <w:rPr>
          <w:rFonts w:ascii="Arial Narrow" w:hAnsi="Arial Narrow"/>
          <w:spacing w:val="-1"/>
          <w:sz w:val="22"/>
          <w:szCs w:val="22"/>
          <w:lang w:val="es-ES"/>
        </w:rPr>
      </w:pPr>
      <w:r>
        <w:rPr>
          <w:rFonts w:ascii="Arial Narrow" w:hAnsi="Arial Narrow"/>
          <w:b/>
          <w:bCs/>
          <w:spacing w:val="-1"/>
          <w:sz w:val="22"/>
          <w:szCs w:val="22"/>
          <w:lang w:val="es-ES"/>
        </w:rPr>
        <w:t xml:space="preserve">COMBUSTIBLES Y LUBRICANTES: </w:t>
      </w:r>
      <w:r>
        <w:rPr>
          <w:rFonts w:ascii="Arial Narrow" w:hAnsi="Arial Narrow"/>
          <w:spacing w:val="-1"/>
          <w:sz w:val="22"/>
          <w:szCs w:val="22"/>
          <w:lang w:val="es-ES"/>
        </w:rPr>
        <w:t>Este rubro presento un</w:t>
      </w:r>
      <w:r w:rsidR="00BE27DB">
        <w:rPr>
          <w:rFonts w:ascii="Arial Narrow" w:hAnsi="Arial Narrow"/>
          <w:spacing w:val="-1"/>
          <w:sz w:val="22"/>
          <w:szCs w:val="22"/>
          <w:lang w:val="es-ES"/>
        </w:rPr>
        <w:t xml:space="preserve"> incremento</w:t>
      </w:r>
      <w:r w:rsidR="00367D1E">
        <w:rPr>
          <w:rFonts w:ascii="Arial Narrow" w:hAnsi="Arial Narrow"/>
          <w:spacing w:val="-1"/>
          <w:sz w:val="22"/>
          <w:szCs w:val="22"/>
          <w:lang w:val="es-ES"/>
        </w:rPr>
        <w:t xml:space="preserve"> del </w:t>
      </w:r>
      <w:r w:rsidR="007E21C9" w:rsidRPr="007E21C9">
        <w:rPr>
          <w:rFonts w:ascii="Arial Narrow" w:hAnsi="Arial Narrow"/>
          <w:b/>
          <w:bCs/>
          <w:spacing w:val="-1"/>
          <w:sz w:val="22"/>
          <w:szCs w:val="22"/>
          <w:lang w:val="es-ES"/>
        </w:rPr>
        <w:t>6</w:t>
      </w:r>
      <w:r w:rsidR="00D84E84" w:rsidRPr="007E21C9">
        <w:rPr>
          <w:rFonts w:ascii="Arial Narrow" w:hAnsi="Arial Narrow"/>
          <w:b/>
          <w:bCs/>
          <w:spacing w:val="-1"/>
          <w:sz w:val="22"/>
          <w:szCs w:val="22"/>
          <w:lang w:val="es-ES"/>
        </w:rPr>
        <w:t>5</w:t>
      </w:r>
      <w:r w:rsidR="00367D1E" w:rsidRPr="007E21C9">
        <w:rPr>
          <w:rFonts w:ascii="Arial Narrow" w:hAnsi="Arial Narrow"/>
          <w:b/>
          <w:bCs/>
          <w:spacing w:val="-1"/>
          <w:sz w:val="22"/>
          <w:szCs w:val="22"/>
          <w:lang w:val="es-ES"/>
        </w:rPr>
        <w:t xml:space="preserve"> %</w:t>
      </w:r>
      <w:r w:rsidR="00D22AC6">
        <w:rPr>
          <w:rFonts w:ascii="Arial Narrow" w:hAnsi="Arial Narrow"/>
          <w:b/>
          <w:bCs/>
          <w:spacing w:val="-1"/>
          <w:sz w:val="22"/>
          <w:szCs w:val="22"/>
          <w:lang w:val="es-ES"/>
        </w:rPr>
        <w:t xml:space="preserve">, </w:t>
      </w:r>
      <w:r w:rsidR="00D22AC6">
        <w:rPr>
          <w:rFonts w:ascii="Arial Narrow" w:hAnsi="Arial Narrow"/>
          <w:spacing w:val="-1"/>
          <w:sz w:val="22"/>
          <w:szCs w:val="22"/>
          <w:lang w:val="es-ES"/>
        </w:rPr>
        <w:t xml:space="preserve">esto se debe a que </w:t>
      </w:r>
      <w:r w:rsidR="007A001D">
        <w:rPr>
          <w:rFonts w:ascii="Arial Narrow" w:hAnsi="Arial Narrow"/>
          <w:spacing w:val="-1"/>
          <w:sz w:val="22"/>
          <w:szCs w:val="22"/>
          <w:lang w:val="es-ES"/>
        </w:rPr>
        <w:t>a que la Entidad ha suscrito contratos</w:t>
      </w:r>
      <w:r w:rsidR="009B4BAC">
        <w:rPr>
          <w:rFonts w:ascii="Arial Narrow" w:hAnsi="Arial Narrow"/>
          <w:spacing w:val="-1"/>
          <w:sz w:val="22"/>
          <w:szCs w:val="22"/>
          <w:lang w:val="es-ES"/>
        </w:rPr>
        <w:t xml:space="preserve"> con otras entidades lo cual genera </w:t>
      </w:r>
      <w:r w:rsidR="009C0A5B">
        <w:rPr>
          <w:rFonts w:ascii="Arial Narrow" w:hAnsi="Arial Narrow"/>
          <w:spacing w:val="-1"/>
          <w:sz w:val="22"/>
          <w:szCs w:val="22"/>
          <w:lang w:val="es-ES"/>
        </w:rPr>
        <w:t>mayores desplazamientos</w:t>
      </w:r>
      <w:r w:rsidR="009B4BAC">
        <w:rPr>
          <w:rFonts w:ascii="Arial Narrow" w:hAnsi="Arial Narrow"/>
          <w:spacing w:val="-1"/>
          <w:sz w:val="22"/>
          <w:szCs w:val="22"/>
          <w:lang w:val="es-ES"/>
        </w:rPr>
        <w:t xml:space="preserve"> para las labores a desarrollar</w:t>
      </w:r>
      <w:r w:rsidR="00A5645D" w:rsidRPr="002721A1">
        <w:rPr>
          <w:rFonts w:ascii="Arial Narrow" w:hAnsi="Arial Narrow"/>
          <w:b/>
          <w:bCs/>
          <w:spacing w:val="-1"/>
          <w:sz w:val="22"/>
          <w:szCs w:val="22"/>
          <w:lang w:val="es-ES"/>
        </w:rPr>
        <w:t>.</w:t>
      </w:r>
      <w:r w:rsidR="00E945A7">
        <w:rPr>
          <w:rFonts w:ascii="Arial Narrow" w:hAnsi="Arial Narrow"/>
          <w:b/>
          <w:bCs/>
          <w:spacing w:val="-1"/>
          <w:sz w:val="22"/>
          <w:szCs w:val="22"/>
          <w:lang w:val="es-ES"/>
        </w:rPr>
        <w:t xml:space="preserve"> </w:t>
      </w:r>
      <w:r w:rsidR="00E945A7" w:rsidRPr="00E945A7">
        <w:rPr>
          <w:rFonts w:ascii="Arial Narrow" w:hAnsi="Arial Narrow"/>
          <w:spacing w:val="-1"/>
          <w:sz w:val="22"/>
          <w:szCs w:val="22"/>
          <w:lang w:val="es-ES"/>
        </w:rPr>
        <w:t xml:space="preserve"> </w:t>
      </w:r>
    </w:p>
    <w:p w14:paraId="421816DE" w14:textId="77777777" w:rsidR="00F02426" w:rsidRDefault="00F02426" w:rsidP="00A3180F">
      <w:pPr>
        <w:spacing w:after="120" w:line="276" w:lineRule="auto"/>
        <w:ind w:left="142"/>
        <w:jc w:val="both"/>
        <w:rPr>
          <w:rFonts w:ascii="Arial Narrow" w:hAnsi="Arial Narrow"/>
          <w:spacing w:val="-1"/>
          <w:sz w:val="22"/>
          <w:szCs w:val="22"/>
          <w:lang w:val="es-ES"/>
        </w:rPr>
      </w:pPr>
    </w:p>
    <w:p w14:paraId="6BF72802" w14:textId="77777777" w:rsidR="00F02426" w:rsidRDefault="00F02426" w:rsidP="00A3180F">
      <w:pPr>
        <w:spacing w:after="120" w:line="276" w:lineRule="auto"/>
        <w:ind w:left="142"/>
        <w:jc w:val="both"/>
        <w:rPr>
          <w:rFonts w:ascii="Arial Narrow" w:hAnsi="Arial Narrow"/>
          <w:spacing w:val="-1"/>
          <w:sz w:val="22"/>
          <w:szCs w:val="22"/>
          <w:lang w:val="es-ES"/>
        </w:rPr>
      </w:pPr>
    </w:p>
    <w:p w14:paraId="7CC9CCE1" w14:textId="77777777" w:rsidR="00F02426" w:rsidRDefault="00F02426" w:rsidP="00A3180F">
      <w:pPr>
        <w:spacing w:after="120" w:line="276" w:lineRule="auto"/>
        <w:ind w:left="142"/>
        <w:jc w:val="both"/>
        <w:rPr>
          <w:rFonts w:ascii="Arial Narrow" w:hAnsi="Arial Narrow"/>
          <w:spacing w:val="-1"/>
          <w:sz w:val="22"/>
          <w:szCs w:val="22"/>
          <w:lang w:val="es-ES"/>
        </w:rPr>
      </w:pPr>
    </w:p>
    <w:p w14:paraId="12A30A45" w14:textId="77777777" w:rsidR="00F02426" w:rsidRDefault="00F02426" w:rsidP="00A3180F">
      <w:pPr>
        <w:spacing w:after="120" w:line="276" w:lineRule="auto"/>
        <w:ind w:left="142"/>
        <w:jc w:val="both"/>
        <w:rPr>
          <w:rFonts w:ascii="Arial Narrow" w:hAnsi="Arial Narrow"/>
          <w:spacing w:val="-1"/>
          <w:sz w:val="22"/>
          <w:szCs w:val="22"/>
          <w:lang w:val="es-ES"/>
        </w:rPr>
      </w:pPr>
    </w:p>
    <w:p w14:paraId="5909A49E" w14:textId="77777777" w:rsidR="00F02426" w:rsidRDefault="00F02426" w:rsidP="00A3180F">
      <w:pPr>
        <w:spacing w:after="120" w:line="276" w:lineRule="auto"/>
        <w:ind w:left="142"/>
        <w:jc w:val="both"/>
        <w:rPr>
          <w:rFonts w:ascii="Arial Narrow" w:hAnsi="Arial Narrow"/>
          <w:spacing w:val="-1"/>
          <w:sz w:val="22"/>
          <w:szCs w:val="22"/>
          <w:lang w:val="es-ES"/>
        </w:rPr>
      </w:pPr>
    </w:p>
    <w:p w14:paraId="49943C18" w14:textId="77777777" w:rsidR="00F02426" w:rsidRDefault="00F02426" w:rsidP="00A3180F">
      <w:pPr>
        <w:spacing w:after="120" w:line="276" w:lineRule="auto"/>
        <w:ind w:left="142"/>
        <w:jc w:val="both"/>
        <w:rPr>
          <w:rFonts w:ascii="Arial Narrow" w:hAnsi="Arial Narrow"/>
          <w:spacing w:val="-1"/>
          <w:sz w:val="22"/>
          <w:szCs w:val="22"/>
          <w:lang w:val="es-ES"/>
        </w:rPr>
      </w:pPr>
    </w:p>
    <w:p w14:paraId="17100DB1" w14:textId="61FD32D7" w:rsidR="001D00E6" w:rsidRPr="0090690D" w:rsidRDefault="004F020A" w:rsidP="00A3180F">
      <w:pPr>
        <w:spacing w:after="120" w:line="276" w:lineRule="auto"/>
        <w:ind w:left="142"/>
        <w:jc w:val="both"/>
        <w:rPr>
          <w:rFonts w:ascii="Arial Narrow" w:hAnsi="Arial Narrow"/>
          <w:spacing w:val="-1"/>
          <w:sz w:val="22"/>
          <w:szCs w:val="22"/>
          <w:lang w:val="es-ES"/>
        </w:rPr>
      </w:pPr>
      <w:r>
        <w:rPr>
          <w:rFonts w:ascii="Arial Narrow" w:hAnsi="Arial Narrow"/>
          <w:spacing w:val="-1"/>
          <w:sz w:val="22"/>
          <w:szCs w:val="22"/>
          <w:lang w:val="es-ES"/>
        </w:rPr>
        <w:t>E</w:t>
      </w:r>
      <w:r w:rsidR="001D00E6" w:rsidRPr="009A3893">
        <w:rPr>
          <w:rFonts w:ascii="Arial Narrow" w:hAnsi="Arial Narrow"/>
          <w:spacing w:val="-1"/>
          <w:sz w:val="22"/>
          <w:szCs w:val="22"/>
          <w:lang w:val="es-ES"/>
        </w:rPr>
        <w:t xml:space="preserve">l gran total </w:t>
      </w:r>
      <w:r w:rsidR="001D41A2" w:rsidRPr="009A3893">
        <w:rPr>
          <w:rFonts w:ascii="Arial Narrow" w:hAnsi="Arial Narrow"/>
          <w:spacing w:val="-1"/>
          <w:sz w:val="22"/>
          <w:szCs w:val="22"/>
          <w:lang w:val="es-ES"/>
        </w:rPr>
        <w:t>de</w:t>
      </w:r>
      <w:r w:rsidR="001D41A2">
        <w:rPr>
          <w:rFonts w:ascii="Arial Narrow" w:hAnsi="Arial Narrow"/>
          <w:spacing w:val="-1"/>
          <w:sz w:val="22"/>
          <w:szCs w:val="22"/>
          <w:lang w:val="es-ES"/>
        </w:rPr>
        <w:t xml:space="preserve">l </w:t>
      </w:r>
      <w:r w:rsidR="005D54AF">
        <w:rPr>
          <w:rFonts w:ascii="Arial Narrow" w:hAnsi="Arial Narrow"/>
          <w:spacing w:val="-1"/>
          <w:sz w:val="22"/>
          <w:szCs w:val="22"/>
          <w:lang w:val="es-ES"/>
        </w:rPr>
        <w:t>tercer</w:t>
      </w:r>
      <w:r w:rsidR="00367D1E">
        <w:rPr>
          <w:rFonts w:ascii="Arial Narrow" w:hAnsi="Arial Narrow"/>
          <w:spacing w:val="-1"/>
          <w:sz w:val="22"/>
          <w:szCs w:val="22"/>
          <w:lang w:val="es-ES"/>
        </w:rPr>
        <w:t xml:space="preserve"> </w:t>
      </w:r>
      <w:r w:rsidR="009273D0">
        <w:rPr>
          <w:rFonts w:ascii="Arial Narrow" w:hAnsi="Arial Narrow"/>
          <w:spacing w:val="-1"/>
          <w:sz w:val="22"/>
          <w:szCs w:val="22"/>
          <w:lang w:val="es-ES"/>
        </w:rPr>
        <w:t>trimestre 202</w:t>
      </w:r>
      <w:r>
        <w:rPr>
          <w:rFonts w:ascii="Arial Narrow" w:hAnsi="Arial Narrow"/>
          <w:spacing w:val="-1"/>
          <w:sz w:val="22"/>
          <w:szCs w:val="22"/>
          <w:lang w:val="es-ES"/>
        </w:rPr>
        <w:t>5</w:t>
      </w:r>
      <w:r w:rsidR="00C13C5A">
        <w:rPr>
          <w:rFonts w:ascii="Arial Narrow" w:hAnsi="Arial Narrow"/>
          <w:spacing w:val="-1"/>
          <w:sz w:val="22"/>
          <w:szCs w:val="22"/>
          <w:lang w:val="es-ES"/>
        </w:rPr>
        <w:t xml:space="preserve"> con respecto al </w:t>
      </w:r>
      <w:r w:rsidR="00307BC9">
        <w:rPr>
          <w:rFonts w:ascii="Arial Narrow" w:hAnsi="Arial Narrow"/>
          <w:spacing w:val="-1"/>
          <w:sz w:val="22"/>
          <w:szCs w:val="22"/>
          <w:lang w:val="es-ES"/>
        </w:rPr>
        <w:t>tercer</w:t>
      </w:r>
      <w:r w:rsidR="00086553">
        <w:rPr>
          <w:rFonts w:ascii="Arial Narrow" w:hAnsi="Arial Narrow"/>
          <w:spacing w:val="-1"/>
          <w:sz w:val="22"/>
          <w:szCs w:val="22"/>
          <w:lang w:val="es-ES"/>
        </w:rPr>
        <w:t xml:space="preserve"> trimestre</w:t>
      </w:r>
      <w:r w:rsidR="00C13C5A">
        <w:rPr>
          <w:rFonts w:ascii="Arial Narrow" w:hAnsi="Arial Narrow"/>
          <w:spacing w:val="-1"/>
          <w:sz w:val="22"/>
          <w:szCs w:val="22"/>
          <w:lang w:val="es-ES"/>
        </w:rPr>
        <w:t xml:space="preserve"> del 202</w:t>
      </w:r>
      <w:r w:rsidR="00E143AD">
        <w:rPr>
          <w:rFonts w:ascii="Arial Narrow" w:hAnsi="Arial Narrow"/>
          <w:spacing w:val="-1"/>
          <w:sz w:val="22"/>
          <w:szCs w:val="22"/>
          <w:lang w:val="es-ES"/>
        </w:rPr>
        <w:t>5</w:t>
      </w:r>
      <w:r w:rsidR="00274998" w:rsidRPr="009A3893">
        <w:rPr>
          <w:rFonts w:ascii="Arial Narrow" w:hAnsi="Arial Narrow"/>
          <w:spacing w:val="-1"/>
          <w:sz w:val="22"/>
          <w:szCs w:val="22"/>
          <w:lang w:val="es-ES"/>
        </w:rPr>
        <w:t xml:space="preserve"> </w:t>
      </w:r>
      <w:r w:rsidR="00274998">
        <w:rPr>
          <w:rFonts w:ascii="Arial Narrow" w:hAnsi="Arial Narrow"/>
          <w:spacing w:val="-1"/>
          <w:sz w:val="22"/>
          <w:szCs w:val="22"/>
          <w:lang w:val="es-ES"/>
        </w:rPr>
        <w:t>se presenta un</w:t>
      </w:r>
      <w:r w:rsidR="00E143AD">
        <w:rPr>
          <w:rFonts w:ascii="Arial Narrow" w:hAnsi="Arial Narrow"/>
          <w:spacing w:val="-1"/>
          <w:sz w:val="22"/>
          <w:szCs w:val="22"/>
          <w:lang w:val="es-ES"/>
        </w:rPr>
        <w:t xml:space="preserve"> incremento del </w:t>
      </w:r>
      <w:r w:rsidR="007E21C9" w:rsidRPr="007E21C9">
        <w:rPr>
          <w:rFonts w:ascii="Arial Narrow" w:hAnsi="Arial Narrow"/>
          <w:b/>
          <w:bCs/>
          <w:spacing w:val="-1"/>
          <w:sz w:val="22"/>
          <w:szCs w:val="22"/>
          <w:lang w:val="es-ES"/>
        </w:rPr>
        <w:t>4</w:t>
      </w:r>
      <w:r w:rsidR="0090690D" w:rsidRPr="007E21C9">
        <w:rPr>
          <w:rFonts w:ascii="Arial Narrow" w:hAnsi="Arial Narrow"/>
          <w:b/>
          <w:bCs/>
          <w:spacing w:val="-1"/>
          <w:sz w:val="22"/>
          <w:szCs w:val="22"/>
          <w:lang w:val="es-ES"/>
        </w:rPr>
        <w:t>5%</w:t>
      </w:r>
      <w:r w:rsidR="0090690D">
        <w:rPr>
          <w:rFonts w:ascii="Arial Narrow" w:hAnsi="Arial Narrow"/>
          <w:b/>
          <w:bCs/>
          <w:spacing w:val="-1"/>
          <w:sz w:val="22"/>
          <w:szCs w:val="22"/>
          <w:lang w:val="es-ES"/>
        </w:rPr>
        <w:t xml:space="preserve">. </w:t>
      </w:r>
      <w:r w:rsidR="0090690D" w:rsidRPr="0090690D">
        <w:rPr>
          <w:rFonts w:ascii="Arial Narrow" w:hAnsi="Arial Narrow"/>
          <w:spacing w:val="-1"/>
          <w:sz w:val="22"/>
          <w:szCs w:val="22"/>
          <w:lang w:val="es-ES"/>
        </w:rPr>
        <w:t xml:space="preserve">Este </w:t>
      </w:r>
      <w:r w:rsidR="0090690D">
        <w:rPr>
          <w:rFonts w:ascii="Arial Narrow" w:hAnsi="Arial Narrow"/>
          <w:spacing w:val="-1"/>
          <w:sz w:val="22"/>
          <w:szCs w:val="22"/>
          <w:lang w:val="es-ES"/>
        </w:rPr>
        <w:t xml:space="preserve">incremento </w:t>
      </w:r>
      <w:r w:rsidR="004C6900">
        <w:rPr>
          <w:rFonts w:ascii="Arial Narrow" w:hAnsi="Arial Narrow"/>
          <w:spacing w:val="-1"/>
          <w:sz w:val="22"/>
          <w:szCs w:val="22"/>
          <w:lang w:val="es-ES"/>
        </w:rPr>
        <w:t>está</w:t>
      </w:r>
      <w:r w:rsidR="0090690D">
        <w:rPr>
          <w:rFonts w:ascii="Arial Narrow" w:hAnsi="Arial Narrow"/>
          <w:spacing w:val="-1"/>
          <w:sz w:val="22"/>
          <w:szCs w:val="22"/>
          <w:lang w:val="es-ES"/>
        </w:rPr>
        <w:t xml:space="preserve"> relacionado con el incremento de</w:t>
      </w:r>
      <w:r w:rsidR="00086553">
        <w:rPr>
          <w:rFonts w:ascii="Arial Narrow" w:hAnsi="Arial Narrow"/>
          <w:spacing w:val="-1"/>
          <w:sz w:val="22"/>
          <w:szCs w:val="22"/>
          <w:lang w:val="es-ES"/>
        </w:rPr>
        <w:t xml:space="preserve"> </w:t>
      </w:r>
      <w:r w:rsidR="0090690D">
        <w:rPr>
          <w:rFonts w:ascii="Arial Narrow" w:hAnsi="Arial Narrow"/>
          <w:spacing w:val="-1"/>
          <w:sz w:val="22"/>
          <w:szCs w:val="22"/>
          <w:lang w:val="es-ES"/>
        </w:rPr>
        <w:t xml:space="preserve">la </w:t>
      </w:r>
      <w:r w:rsidR="004C6900">
        <w:rPr>
          <w:rFonts w:ascii="Arial Narrow" w:hAnsi="Arial Narrow"/>
          <w:spacing w:val="-1"/>
          <w:sz w:val="22"/>
          <w:szCs w:val="22"/>
          <w:lang w:val="es-ES"/>
        </w:rPr>
        <w:t>Nómina</w:t>
      </w:r>
      <w:r w:rsidR="00086553">
        <w:rPr>
          <w:rFonts w:ascii="Arial Narrow" w:hAnsi="Arial Narrow"/>
          <w:spacing w:val="-1"/>
          <w:sz w:val="22"/>
          <w:szCs w:val="22"/>
          <w:lang w:val="es-ES"/>
        </w:rPr>
        <w:t xml:space="preserve"> y </w:t>
      </w:r>
      <w:r w:rsidR="00307BC9">
        <w:rPr>
          <w:rFonts w:ascii="Arial Narrow" w:hAnsi="Arial Narrow"/>
          <w:spacing w:val="-1"/>
          <w:sz w:val="22"/>
          <w:szCs w:val="22"/>
          <w:lang w:val="es-ES"/>
        </w:rPr>
        <w:t>combustible y lubricantes</w:t>
      </w:r>
      <w:r w:rsidR="00086553">
        <w:rPr>
          <w:rFonts w:ascii="Arial Narrow" w:hAnsi="Arial Narrow"/>
          <w:spacing w:val="-1"/>
          <w:sz w:val="22"/>
          <w:szCs w:val="22"/>
          <w:lang w:val="es-ES"/>
        </w:rPr>
        <w:t>.</w:t>
      </w:r>
    </w:p>
    <w:p w14:paraId="53AFE677" w14:textId="77777777" w:rsidR="001D3D05" w:rsidRDefault="001D3D05" w:rsidP="00A3180F">
      <w:pPr>
        <w:spacing w:after="120" w:line="276" w:lineRule="auto"/>
        <w:ind w:left="142"/>
        <w:jc w:val="both"/>
        <w:rPr>
          <w:rFonts w:ascii="Arial Narrow" w:hAnsi="Arial Narrow"/>
          <w:spacing w:val="-1"/>
          <w:sz w:val="22"/>
          <w:szCs w:val="22"/>
          <w:lang w:val="es-ES"/>
        </w:rPr>
      </w:pPr>
    </w:p>
    <w:p w14:paraId="18310DC4" w14:textId="77777777" w:rsidR="00C17F5E" w:rsidRDefault="00C17F5E" w:rsidP="00A3180F">
      <w:pPr>
        <w:jc w:val="both"/>
        <w:rPr>
          <w:rFonts w:ascii="Arial Narrow" w:hAnsi="Arial Narrow"/>
          <w:sz w:val="22"/>
          <w:szCs w:val="22"/>
        </w:rPr>
      </w:pPr>
    </w:p>
    <w:p w14:paraId="4C9AC7C0" w14:textId="77777777" w:rsidR="00806F5C" w:rsidRDefault="00806F5C" w:rsidP="00A3180F">
      <w:pPr>
        <w:jc w:val="both"/>
        <w:rPr>
          <w:rFonts w:ascii="Arial Narrow" w:hAnsi="Arial Narrow"/>
          <w:sz w:val="22"/>
          <w:szCs w:val="22"/>
        </w:rPr>
      </w:pPr>
    </w:p>
    <w:p w14:paraId="735A6CE2" w14:textId="77777777" w:rsidR="008148B3" w:rsidRPr="009A3893" w:rsidRDefault="008148B3" w:rsidP="00A3180F">
      <w:pPr>
        <w:jc w:val="both"/>
        <w:rPr>
          <w:rFonts w:ascii="Arial Narrow" w:hAnsi="Arial Narrow"/>
          <w:sz w:val="22"/>
          <w:szCs w:val="22"/>
        </w:rPr>
      </w:pPr>
    </w:p>
    <w:p w14:paraId="3F84D265" w14:textId="77221A8E" w:rsidR="0074347B" w:rsidRPr="009A3893" w:rsidRDefault="0074347B" w:rsidP="00A3180F">
      <w:pPr>
        <w:jc w:val="both"/>
        <w:rPr>
          <w:rFonts w:ascii="Arial Narrow" w:hAnsi="Arial Narrow"/>
          <w:sz w:val="22"/>
          <w:szCs w:val="22"/>
        </w:rPr>
      </w:pPr>
      <w:r w:rsidRPr="009A3893">
        <w:rPr>
          <w:rFonts w:ascii="Arial Narrow" w:hAnsi="Arial Narrow"/>
          <w:sz w:val="22"/>
          <w:szCs w:val="22"/>
        </w:rPr>
        <w:t>Cordialmente,</w:t>
      </w:r>
    </w:p>
    <w:p w14:paraId="108800BB" w14:textId="77777777" w:rsidR="00C17F5E" w:rsidRDefault="00C17F5E" w:rsidP="00A3180F">
      <w:pPr>
        <w:jc w:val="both"/>
        <w:rPr>
          <w:rFonts w:ascii="Arial Narrow" w:hAnsi="Arial Narrow"/>
          <w:sz w:val="22"/>
          <w:szCs w:val="22"/>
        </w:rPr>
      </w:pPr>
    </w:p>
    <w:p w14:paraId="103E0F85" w14:textId="77777777" w:rsidR="00C13C5A" w:rsidRPr="009A3893" w:rsidRDefault="00C13C5A" w:rsidP="00A3180F">
      <w:pPr>
        <w:jc w:val="both"/>
        <w:rPr>
          <w:rFonts w:ascii="Arial Narrow" w:hAnsi="Arial Narrow"/>
          <w:sz w:val="22"/>
          <w:szCs w:val="22"/>
        </w:rPr>
      </w:pPr>
    </w:p>
    <w:p w14:paraId="3629768C" w14:textId="77777777" w:rsidR="0074347B" w:rsidRPr="009A3893" w:rsidRDefault="0074347B" w:rsidP="00A3180F">
      <w:pPr>
        <w:jc w:val="both"/>
        <w:rPr>
          <w:rFonts w:ascii="Arial Narrow" w:hAnsi="Arial Narrow"/>
          <w:b/>
          <w:bCs/>
          <w:sz w:val="22"/>
          <w:szCs w:val="22"/>
        </w:rPr>
      </w:pPr>
      <w:r w:rsidRPr="009A3893">
        <w:rPr>
          <w:rFonts w:ascii="Arial Narrow" w:hAnsi="Arial Narrow"/>
          <w:b/>
          <w:bCs/>
          <w:sz w:val="22"/>
          <w:szCs w:val="22"/>
        </w:rPr>
        <w:t>ANA PATRICIA PINEDA RAMIREZ</w:t>
      </w:r>
    </w:p>
    <w:p w14:paraId="1835FE42" w14:textId="4E9E4144" w:rsidR="00103B5C" w:rsidRPr="009A3893" w:rsidRDefault="0074347B" w:rsidP="00A3180F">
      <w:pPr>
        <w:jc w:val="both"/>
        <w:rPr>
          <w:rFonts w:ascii="Arial Narrow" w:hAnsi="Arial Narrow"/>
          <w:sz w:val="22"/>
          <w:szCs w:val="22"/>
        </w:rPr>
      </w:pPr>
      <w:r w:rsidRPr="009A3893">
        <w:rPr>
          <w:rFonts w:ascii="Arial Narrow" w:hAnsi="Arial Narrow"/>
          <w:sz w:val="22"/>
          <w:szCs w:val="22"/>
        </w:rPr>
        <w:t>Jefe de Control Interno.</w:t>
      </w:r>
    </w:p>
    <w:sectPr w:rsidR="00103B5C" w:rsidRPr="009A3893" w:rsidSect="00F550C2">
      <w:headerReference w:type="default" r:id="rId15"/>
      <w:pgSz w:w="12240" w:h="15840"/>
      <w:pgMar w:top="1701" w:right="1701" w:bottom="1701" w:left="1701" w:header="709" w:footer="1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00CF2" w14:textId="77777777" w:rsidR="00B5297F" w:rsidRDefault="00B5297F" w:rsidP="003F4EF2">
      <w:r>
        <w:separator/>
      </w:r>
    </w:p>
  </w:endnote>
  <w:endnote w:type="continuationSeparator" w:id="0">
    <w:p w14:paraId="67C5F202" w14:textId="77777777" w:rsidR="00B5297F" w:rsidRDefault="00B5297F" w:rsidP="003F4EF2">
      <w:r>
        <w:continuationSeparator/>
      </w:r>
    </w:p>
  </w:endnote>
  <w:endnote w:type="continuationNotice" w:id="1">
    <w:p w14:paraId="109C4597" w14:textId="77777777" w:rsidR="00B5297F" w:rsidRDefault="00B52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B4BB6" w14:textId="77777777" w:rsidR="00B5297F" w:rsidRDefault="00B5297F" w:rsidP="003F4EF2">
      <w:r>
        <w:separator/>
      </w:r>
    </w:p>
  </w:footnote>
  <w:footnote w:type="continuationSeparator" w:id="0">
    <w:p w14:paraId="689DA657" w14:textId="77777777" w:rsidR="00B5297F" w:rsidRDefault="00B5297F" w:rsidP="003F4EF2">
      <w:r>
        <w:continuationSeparator/>
      </w:r>
    </w:p>
  </w:footnote>
  <w:footnote w:type="continuationNotice" w:id="1">
    <w:p w14:paraId="30442948" w14:textId="77777777" w:rsidR="00B5297F" w:rsidRDefault="00B529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4382" w14:textId="77777777" w:rsidR="003F4EF2" w:rsidRDefault="00B61196">
    <w:pPr>
      <w:pStyle w:val="Encabezado"/>
    </w:pPr>
    <w:r>
      <w:rPr>
        <w:noProof/>
      </w:rPr>
      <w:drawing>
        <wp:anchor distT="0" distB="0" distL="114300" distR="114300" simplePos="0" relativeHeight="251658240" behindDoc="1" locked="0" layoutInCell="1" allowOverlap="1" wp14:anchorId="0E36B6C4" wp14:editId="05EBEBC8">
          <wp:simplePos x="0" y="0"/>
          <wp:positionH relativeFrom="page">
            <wp:align>right</wp:align>
          </wp:positionH>
          <wp:positionV relativeFrom="paragraph">
            <wp:posOffset>-440055</wp:posOffset>
          </wp:positionV>
          <wp:extent cx="7753350" cy="10033386"/>
          <wp:effectExtent l="0" t="0" r="0" b="6350"/>
          <wp:wrapNone/>
          <wp:docPr id="10" name="Imagen 10" descr="margen de 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margen de agua"/>
                  <pic:cNvPicPr/>
                </pic:nvPicPr>
                <pic:blipFill>
                  <a:blip r:embed="rId1">
                    <a:extLst>
                      <a:ext uri="{28A0092B-C50C-407E-A947-70E740481C1C}">
                        <a14:useLocalDpi xmlns:a14="http://schemas.microsoft.com/office/drawing/2010/main" val="0"/>
                      </a:ext>
                    </a:extLst>
                  </a:blip>
                  <a:stretch>
                    <a:fillRect/>
                  </a:stretch>
                </pic:blipFill>
                <pic:spPr>
                  <a:xfrm>
                    <a:off x="0" y="0"/>
                    <a:ext cx="7753350" cy="1003338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248C8"/>
    <w:multiLevelType w:val="hybridMultilevel"/>
    <w:tmpl w:val="EF88DF88"/>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 w15:restartNumberingAfterBreak="0">
    <w:nsid w:val="4ECD5A69"/>
    <w:multiLevelType w:val="hybridMultilevel"/>
    <w:tmpl w:val="83A4AC26"/>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740450256">
    <w:abstractNumId w:val="1"/>
  </w:num>
  <w:num w:numId="2" w16cid:durableId="721289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EF2"/>
    <w:rsid w:val="000007B6"/>
    <w:rsid w:val="00000B28"/>
    <w:rsid w:val="00007261"/>
    <w:rsid w:val="000175EF"/>
    <w:rsid w:val="000209B6"/>
    <w:rsid w:val="00024D59"/>
    <w:rsid w:val="00027DE6"/>
    <w:rsid w:val="00034BAF"/>
    <w:rsid w:val="00041231"/>
    <w:rsid w:val="000466C4"/>
    <w:rsid w:val="00052E50"/>
    <w:rsid w:val="00060314"/>
    <w:rsid w:val="000633E2"/>
    <w:rsid w:val="00063E6A"/>
    <w:rsid w:val="00071DDC"/>
    <w:rsid w:val="0007642B"/>
    <w:rsid w:val="000820F4"/>
    <w:rsid w:val="00083539"/>
    <w:rsid w:val="00085A97"/>
    <w:rsid w:val="00086553"/>
    <w:rsid w:val="00093724"/>
    <w:rsid w:val="00093D7D"/>
    <w:rsid w:val="000A17D4"/>
    <w:rsid w:val="000A4C1B"/>
    <w:rsid w:val="000A56E5"/>
    <w:rsid w:val="000B42B2"/>
    <w:rsid w:val="000E089D"/>
    <w:rsid w:val="000E235B"/>
    <w:rsid w:val="000E2445"/>
    <w:rsid w:val="000E3D61"/>
    <w:rsid w:val="000F5A47"/>
    <w:rsid w:val="000F5AAF"/>
    <w:rsid w:val="00100418"/>
    <w:rsid w:val="00103B5C"/>
    <w:rsid w:val="00110AAB"/>
    <w:rsid w:val="001121DF"/>
    <w:rsid w:val="001158DE"/>
    <w:rsid w:val="00120089"/>
    <w:rsid w:val="001216DC"/>
    <w:rsid w:val="00124131"/>
    <w:rsid w:val="001248FA"/>
    <w:rsid w:val="001272DC"/>
    <w:rsid w:val="00134254"/>
    <w:rsid w:val="00135598"/>
    <w:rsid w:val="00135AE3"/>
    <w:rsid w:val="00137539"/>
    <w:rsid w:val="0015665D"/>
    <w:rsid w:val="00160C41"/>
    <w:rsid w:val="00172A0C"/>
    <w:rsid w:val="001805D3"/>
    <w:rsid w:val="00186D25"/>
    <w:rsid w:val="001931EE"/>
    <w:rsid w:val="00193CD0"/>
    <w:rsid w:val="00197432"/>
    <w:rsid w:val="001A3350"/>
    <w:rsid w:val="001A565C"/>
    <w:rsid w:val="001A7CBE"/>
    <w:rsid w:val="001B0F52"/>
    <w:rsid w:val="001B2749"/>
    <w:rsid w:val="001B37F8"/>
    <w:rsid w:val="001B6D92"/>
    <w:rsid w:val="001B79A3"/>
    <w:rsid w:val="001C620F"/>
    <w:rsid w:val="001D00E6"/>
    <w:rsid w:val="001D3D05"/>
    <w:rsid w:val="001D41A2"/>
    <w:rsid w:val="001D6284"/>
    <w:rsid w:val="001E0C23"/>
    <w:rsid w:val="001E527D"/>
    <w:rsid w:val="001F0B7A"/>
    <w:rsid w:val="002032D1"/>
    <w:rsid w:val="00204595"/>
    <w:rsid w:val="00204C59"/>
    <w:rsid w:val="00221F39"/>
    <w:rsid w:val="00232F4D"/>
    <w:rsid w:val="00234ACC"/>
    <w:rsid w:val="00251446"/>
    <w:rsid w:val="002540A7"/>
    <w:rsid w:val="00257E81"/>
    <w:rsid w:val="00264AAA"/>
    <w:rsid w:val="0026603C"/>
    <w:rsid w:val="00266EFC"/>
    <w:rsid w:val="00267268"/>
    <w:rsid w:val="002721A1"/>
    <w:rsid w:val="0027256B"/>
    <w:rsid w:val="00274998"/>
    <w:rsid w:val="00276110"/>
    <w:rsid w:val="002850BC"/>
    <w:rsid w:val="002858D5"/>
    <w:rsid w:val="00285C23"/>
    <w:rsid w:val="002B4377"/>
    <w:rsid w:val="002B6AD0"/>
    <w:rsid w:val="002B7C22"/>
    <w:rsid w:val="002C2646"/>
    <w:rsid w:val="002C2F9C"/>
    <w:rsid w:val="002D68D0"/>
    <w:rsid w:val="002E0CCA"/>
    <w:rsid w:val="002E3034"/>
    <w:rsid w:val="002F0359"/>
    <w:rsid w:val="002F17A2"/>
    <w:rsid w:val="002F4E6A"/>
    <w:rsid w:val="00302E88"/>
    <w:rsid w:val="00307BC9"/>
    <w:rsid w:val="003100ED"/>
    <w:rsid w:val="00311C45"/>
    <w:rsid w:val="00320B7D"/>
    <w:rsid w:val="00321503"/>
    <w:rsid w:val="00322C98"/>
    <w:rsid w:val="003241D6"/>
    <w:rsid w:val="00324674"/>
    <w:rsid w:val="0032481A"/>
    <w:rsid w:val="00327D7B"/>
    <w:rsid w:val="003349C7"/>
    <w:rsid w:val="00335890"/>
    <w:rsid w:val="00342306"/>
    <w:rsid w:val="003541B3"/>
    <w:rsid w:val="00362AC8"/>
    <w:rsid w:val="00363940"/>
    <w:rsid w:val="00367D1E"/>
    <w:rsid w:val="00370F5E"/>
    <w:rsid w:val="003714E0"/>
    <w:rsid w:val="0038079B"/>
    <w:rsid w:val="00383908"/>
    <w:rsid w:val="00384CAE"/>
    <w:rsid w:val="00391C60"/>
    <w:rsid w:val="00394030"/>
    <w:rsid w:val="003973C0"/>
    <w:rsid w:val="003A186F"/>
    <w:rsid w:val="003A2B0E"/>
    <w:rsid w:val="003B34E2"/>
    <w:rsid w:val="003B5C31"/>
    <w:rsid w:val="003C0266"/>
    <w:rsid w:val="003D2461"/>
    <w:rsid w:val="003E1346"/>
    <w:rsid w:val="003E28BF"/>
    <w:rsid w:val="003F3B65"/>
    <w:rsid w:val="003F3C14"/>
    <w:rsid w:val="003F4EF2"/>
    <w:rsid w:val="0040303C"/>
    <w:rsid w:val="00415144"/>
    <w:rsid w:val="004206E4"/>
    <w:rsid w:val="004215E9"/>
    <w:rsid w:val="00425BEB"/>
    <w:rsid w:val="004343F7"/>
    <w:rsid w:val="00436971"/>
    <w:rsid w:val="004452D2"/>
    <w:rsid w:val="004515B5"/>
    <w:rsid w:val="00461306"/>
    <w:rsid w:val="00463284"/>
    <w:rsid w:val="00467184"/>
    <w:rsid w:val="00471329"/>
    <w:rsid w:val="004731BE"/>
    <w:rsid w:val="00473DA0"/>
    <w:rsid w:val="0047682F"/>
    <w:rsid w:val="00483C4B"/>
    <w:rsid w:val="00494CA4"/>
    <w:rsid w:val="004A318B"/>
    <w:rsid w:val="004B098F"/>
    <w:rsid w:val="004B2856"/>
    <w:rsid w:val="004C1A1C"/>
    <w:rsid w:val="004C6900"/>
    <w:rsid w:val="004C7E57"/>
    <w:rsid w:val="004E70D6"/>
    <w:rsid w:val="004F020A"/>
    <w:rsid w:val="004F09D9"/>
    <w:rsid w:val="004F12B0"/>
    <w:rsid w:val="004F2A6B"/>
    <w:rsid w:val="004F381B"/>
    <w:rsid w:val="004F4760"/>
    <w:rsid w:val="004F798F"/>
    <w:rsid w:val="004F7A70"/>
    <w:rsid w:val="005111B1"/>
    <w:rsid w:val="00513BFD"/>
    <w:rsid w:val="00516AAC"/>
    <w:rsid w:val="00520C02"/>
    <w:rsid w:val="00521BF6"/>
    <w:rsid w:val="00524C8B"/>
    <w:rsid w:val="00525D3C"/>
    <w:rsid w:val="005312FA"/>
    <w:rsid w:val="00532EB9"/>
    <w:rsid w:val="00533FB3"/>
    <w:rsid w:val="0053671B"/>
    <w:rsid w:val="00542282"/>
    <w:rsid w:val="005437CC"/>
    <w:rsid w:val="00545D10"/>
    <w:rsid w:val="005515A0"/>
    <w:rsid w:val="00552448"/>
    <w:rsid w:val="00552B20"/>
    <w:rsid w:val="0055490B"/>
    <w:rsid w:val="00563DEE"/>
    <w:rsid w:val="0056635C"/>
    <w:rsid w:val="005671A9"/>
    <w:rsid w:val="00582B6C"/>
    <w:rsid w:val="00591EE8"/>
    <w:rsid w:val="00592F3D"/>
    <w:rsid w:val="005937A0"/>
    <w:rsid w:val="005A07E0"/>
    <w:rsid w:val="005B695A"/>
    <w:rsid w:val="005B7F0F"/>
    <w:rsid w:val="005C50BB"/>
    <w:rsid w:val="005C62D5"/>
    <w:rsid w:val="005D2BB4"/>
    <w:rsid w:val="005D54AF"/>
    <w:rsid w:val="005E27EE"/>
    <w:rsid w:val="005E435B"/>
    <w:rsid w:val="005E60C7"/>
    <w:rsid w:val="00603A17"/>
    <w:rsid w:val="006101B3"/>
    <w:rsid w:val="006108A3"/>
    <w:rsid w:val="00611DDE"/>
    <w:rsid w:val="0061421C"/>
    <w:rsid w:val="006157D9"/>
    <w:rsid w:val="0062449D"/>
    <w:rsid w:val="00625A06"/>
    <w:rsid w:val="00642507"/>
    <w:rsid w:val="00644452"/>
    <w:rsid w:val="00645273"/>
    <w:rsid w:val="00646B67"/>
    <w:rsid w:val="0065167F"/>
    <w:rsid w:val="00656A82"/>
    <w:rsid w:val="00656D7D"/>
    <w:rsid w:val="006615BA"/>
    <w:rsid w:val="006623C5"/>
    <w:rsid w:val="00667EE0"/>
    <w:rsid w:val="006767B0"/>
    <w:rsid w:val="006771E1"/>
    <w:rsid w:val="006775BC"/>
    <w:rsid w:val="00687193"/>
    <w:rsid w:val="006900B4"/>
    <w:rsid w:val="0069114D"/>
    <w:rsid w:val="00692C56"/>
    <w:rsid w:val="0069742B"/>
    <w:rsid w:val="006A2449"/>
    <w:rsid w:val="006A666A"/>
    <w:rsid w:val="006B372D"/>
    <w:rsid w:val="006B42C8"/>
    <w:rsid w:val="006D3054"/>
    <w:rsid w:val="006D518B"/>
    <w:rsid w:val="006E1FA0"/>
    <w:rsid w:val="006E752E"/>
    <w:rsid w:val="006F1AB7"/>
    <w:rsid w:val="006F2788"/>
    <w:rsid w:val="006F5FB6"/>
    <w:rsid w:val="006F64B9"/>
    <w:rsid w:val="007000B9"/>
    <w:rsid w:val="007019B4"/>
    <w:rsid w:val="00703858"/>
    <w:rsid w:val="00712D43"/>
    <w:rsid w:val="007161E1"/>
    <w:rsid w:val="00717286"/>
    <w:rsid w:val="00730F17"/>
    <w:rsid w:val="00732ED0"/>
    <w:rsid w:val="00742258"/>
    <w:rsid w:val="0074347B"/>
    <w:rsid w:val="00746C11"/>
    <w:rsid w:val="00747664"/>
    <w:rsid w:val="00750A01"/>
    <w:rsid w:val="00750BEF"/>
    <w:rsid w:val="00752E46"/>
    <w:rsid w:val="007573DE"/>
    <w:rsid w:val="007629FA"/>
    <w:rsid w:val="00770987"/>
    <w:rsid w:val="0077236B"/>
    <w:rsid w:val="00772F6F"/>
    <w:rsid w:val="00774C70"/>
    <w:rsid w:val="007873A2"/>
    <w:rsid w:val="00792CD4"/>
    <w:rsid w:val="007971CB"/>
    <w:rsid w:val="007A001D"/>
    <w:rsid w:val="007A4112"/>
    <w:rsid w:val="007A7715"/>
    <w:rsid w:val="007B4136"/>
    <w:rsid w:val="007B53B3"/>
    <w:rsid w:val="007B62D1"/>
    <w:rsid w:val="007C1012"/>
    <w:rsid w:val="007C23E3"/>
    <w:rsid w:val="007C3333"/>
    <w:rsid w:val="007C405B"/>
    <w:rsid w:val="007C4681"/>
    <w:rsid w:val="007C528C"/>
    <w:rsid w:val="007C6C8D"/>
    <w:rsid w:val="007D185B"/>
    <w:rsid w:val="007D64FA"/>
    <w:rsid w:val="007E21C9"/>
    <w:rsid w:val="007F0320"/>
    <w:rsid w:val="007F1E7C"/>
    <w:rsid w:val="007F2470"/>
    <w:rsid w:val="007F4E78"/>
    <w:rsid w:val="007F6EDB"/>
    <w:rsid w:val="00806F5C"/>
    <w:rsid w:val="008148B3"/>
    <w:rsid w:val="00816315"/>
    <w:rsid w:val="008174A0"/>
    <w:rsid w:val="008203C6"/>
    <w:rsid w:val="00823C81"/>
    <w:rsid w:val="0083119D"/>
    <w:rsid w:val="008343C0"/>
    <w:rsid w:val="00834B61"/>
    <w:rsid w:val="00835F96"/>
    <w:rsid w:val="00840498"/>
    <w:rsid w:val="0084152D"/>
    <w:rsid w:val="008467AE"/>
    <w:rsid w:val="008561B4"/>
    <w:rsid w:val="0086000C"/>
    <w:rsid w:val="00860188"/>
    <w:rsid w:val="008637D6"/>
    <w:rsid w:val="00867AA0"/>
    <w:rsid w:val="00877B7A"/>
    <w:rsid w:val="00882780"/>
    <w:rsid w:val="0088325D"/>
    <w:rsid w:val="00885442"/>
    <w:rsid w:val="008901EA"/>
    <w:rsid w:val="008918D9"/>
    <w:rsid w:val="008923AB"/>
    <w:rsid w:val="008940CC"/>
    <w:rsid w:val="0089542B"/>
    <w:rsid w:val="008A645D"/>
    <w:rsid w:val="008B6F8E"/>
    <w:rsid w:val="008C173C"/>
    <w:rsid w:val="008D1488"/>
    <w:rsid w:val="008D17D2"/>
    <w:rsid w:val="008D4E8B"/>
    <w:rsid w:val="008D5237"/>
    <w:rsid w:val="008D5559"/>
    <w:rsid w:val="008D6A52"/>
    <w:rsid w:val="008F69FD"/>
    <w:rsid w:val="0090690D"/>
    <w:rsid w:val="00910C3C"/>
    <w:rsid w:val="00911F9D"/>
    <w:rsid w:val="009139CB"/>
    <w:rsid w:val="009146A2"/>
    <w:rsid w:val="00917320"/>
    <w:rsid w:val="009222BD"/>
    <w:rsid w:val="009273D0"/>
    <w:rsid w:val="00930506"/>
    <w:rsid w:val="00930DE2"/>
    <w:rsid w:val="00941D9E"/>
    <w:rsid w:val="00944FFE"/>
    <w:rsid w:val="00951AA5"/>
    <w:rsid w:val="00954F12"/>
    <w:rsid w:val="00955A29"/>
    <w:rsid w:val="009627CE"/>
    <w:rsid w:val="00963541"/>
    <w:rsid w:val="00973176"/>
    <w:rsid w:val="0097642E"/>
    <w:rsid w:val="00982724"/>
    <w:rsid w:val="00996B80"/>
    <w:rsid w:val="009A1AA7"/>
    <w:rsid w:val="009A2B0A"/>
    <w:rsid w:val="009A3893"/>
    <w:rsid w:val="009A41F2"/>
    <w:rsid w:val="009A4F1C"/>
    <w:rsid w:val="009A7C37"/>
    <w:rsid w:val="009B1C23"/>
    <w:rsid w:val="009B4BAC"/>
    <w:rsid w:val="009C0A5B"/>
    <w:rsid w:val="009C7BD3"/>
    <w:rsid w:val="009C7EAD"/>
    <w:rsid w:val="009D1DBE"/>
    <w:rsid w:val="009D3053"/>
    <w:rsid w:val="009D6957"/>
    <w:rsid w:val="009E27CC"/>
    <w:rsid w:val="009F134C"/>
    <w:rsid w:val="009F163A"/>
    <w:rsid w:val="00A00B74"/>
    <w:rsid w:val="00A3180F"/>
    <w:rsid w:val="00A37775"/>
    <w:rsid w:val="00A42C81"/>
    <w:rsid w:val="00A46543"/>
    <w:rsid w:val="00A5645D"/>
    <w:rsid w:val="00A60085"/>
    <w:rsid w:val="00A64ADA"/>
    <w:rsid w:val="00A72026"/>
    <w:rsid w:val="00A7631C"/>
    <w:rsid w:val="00A81530"/>
    <w:rsid w:val="00A8157C"/>
    <w:rsid w:val="00A87ADA"/>
    <w:rsid w:val="00A97D51"/>
    <w:rsid w:val="00AA55B5"/>
    <w:rsid w:val="00AB0B8F"/>
    <w:rsid w:val="00AC08FD"/>
    <w:rsid w:val="00AC35C9"/>
    <w:rsid w:val="00AD6120"/>
    <w:rsid w:val="00AE3305"/>
    <w:rsid w:val="00B00FCC"/>
    <w:rsid w:val="00B01DB4"/>
    <w:rsid w:val="00B024F1"/>
    <w:rsid w:val="00B042DE"/>
    <w:rsid w:val="00B04561"/>
    <w:rsid w:val="00B05222"/>
    <w:rsid w:val="00B3231C"/>
    <w:rsid w:val="00B43664"/>
    <w:rsid w:val="00B4653B"/>
    <w:rsid w:val="00B5218E"/>
    <w:rsid w:val="00B5297F"/>
    <w:rsid w:val="00B55EA6"/>
    <w:rsid w:val="00B565FF"/>
    <w:rsid w:val="00B6047B"/>
    <w:rsid w:val="00B61196"/>
    <w:rsid w:val="00B621A7"/>
    <w:rsid w:val="00B7160C"/>
    <w:rsid w:val="00B722BF"/>
    <w:rsid w:val="00B815E0"/>
    <w:rsid w:val="00B8531D"/>
    <w:rsid w:val="00BA2551"/>
    <w:rsid w:val="00BA458B"/>
    <w:rsid w:val="00BA6A09"/>
    <w:rsid w:val="00BB0C25"/>
    <w:rsid w:val="00BB23F3"/>
    <w:rsid w:val="00BB635F"/>
    <w:rsid w:val="00BC2C9C"/>
    <w:rsid w:val="00BD0696"/>
    <w:rsid w:val="00BD2D4C"/>
    <w:rsid w:val="00BD446E"/>
    <w:rsid w:val="00BE10CE"/>
    <w:rsid w:val="00BE157A"/>
    <w:rsid w:val="00BE1E68"/>
    <w:rsid w:val="00BE27DB"/>
    <w:rsid w:val="00BE3862"/>
    <w:rsid w:val="00BE6DED"/>
    <w:rsid w:val="00BF02B5"/>
    <w:rsid w:val="00BF4716"/>
    <w:rsid w:val="00BF4CAE"/>
    <w:rsid w:val="00BF73AF"/>
    <w:rsid w:val="00C00277"/>
    <w:rsid w:val="00C022E2"/>
    <w:rsid w:val="00C060B4"/>
    <w:rsid w:val="00C06600"/>
    <w:rsid w:val="00C06735"/>
    <w:rsid w:val="00C07875"/>
    <w:rsid w:val="00C101AF"/>
    <w:rsid w:val="00C13C5A"/>
    <w:rsid w:val="00C13D24"/>
    <w:rsid w:val="00C175DA"/>
    <w:rsid w:val="00C17F5E"/>
    <w:rsid w:val="00C322AD"/>
    <w:rsid w:val="00C45087"/>
    <w:rsid w:val="00C4717E"/>
    <w:rsid w:val="00C55514"/>
    <w:rsid w:val="00C568CD"/>
    <w:rsid w:val="00C607C1"/>
    <w:rsid w:val="00C60BE4"/>
    <w:rsid w:val="00C7216D"/>
    <w:rsid w:val="00C860E7"/>
    <w:rsid w:val="00CA2B15"/>
    <w:rsid w:val="00CB0BA6"/>
    <w:rsid w:val="00CB4F6E"/>
    <w:rsid w:val="00CB7C91"/>
    <w:rsid w:val="00CC03A4"/>
    <w:rsid w:val="00CC247E"/>
    <w:rsid w:val="00CC54BD"/>
    <w:rsid w:val="00CC58C2"/>
    <w:rsid w:val="00CC5F4D"/>
    <w:rsid w:val="00CC7A11"/>
    <w:rsid w:val="00CD7C64"/>
    <w:rsid w:val="00CE0AF7"/>
    <w:rsid w:val="00CE14DA"/>
    <w:rsid w:val="00CE35A9"/>
    <w:rsid w:val="00CE4280"/>
    <w:rsid w:val="00CF3758"/>
    <w:rsid w:val="00CF54C7"/>
    <w:rsid w:val="00CF68BC"/>
    <w:rsid w:val="00D01862"/>
    <w:rsid w:val="00D034B9"/>
    <w:rsid w:val="00D1000D"/>
    <w:rsid w:val="00D106AC"/>
    <w:rsid w:val="00D12552"/>
    <w:rsid w:val="00D1428C"/>
    <w:rsid w:val="00D21C37"/>
    <w:rsid w:val="00D22AC6"/>
    <w:rsid w:val="00D2313B"/>
    <w:rsid w:val="00D2625A"/>
    <w:rsid w:val="00D30EB7"/>
    <w:rsid w:val="00D5157D"/>
    <w:rsid w:val="00D54050"/>
    <w:rsid w:val="00D62496"/>
    <w:rsid w:val="00D62EF7"/>
    <w:rsid w:val="00D63115"/>
    <w:rsid w:val="00D66CA8"/>
    <w:rsid w:val="00D800D4"/>
    <w:rsid w:val="00D84E84"/>
    <w:rsid w:val="00DA6C3C"/>
    <w:rsid w:val="00DB3225"/>
    <w:rsid w:val="00DB5B68"/>
    <w:rsid w:val="00DB5D44"/>
    <w:rsid w:val="00DC2C26"/>
    <w:rsid w:val="00DC389A"/>
    <w:rsid w:val="00DC5780"/>
    <w:rsid w:val="00DD3277"/>
    <w:rsid w:val="00DD6EBE"/>
    <w:rsid w:val="00DE24B9"/>
    <w:rsid w:val="00DE5D73"/>
    <w:rsid w:val="00DF0CC6"/>
    <w:rsid w:val="00DF0F89"/>
    <w:rsid w:val="00DF4D38"/>
    <w:rsid w:val="00DF6715"/>
    <w:rsid w:val="00DF6F44"/>
    <w:rsid w:val="00DF7389"/>
    <w:rsid w:val="00E0129F"/>
    <w:rsid w:val="00E05D8E"/>
    <w:rsid w:val="00E11BD1"/>
    <w:rsid w:val="00E143AD"/>
    <w:rsid w:val="00E17B99"/>
    <w:rsid w:val="00E2646C"/>
    <w:rsid w:val="00E26834"/>
    <w:rsid w:val="00E27579"/>
    <w:rsid w:val="00E302C1"/>
    <w:rsid w:val="00E30AA7"/>
    <w:rsid w:val="00E426F8"/>
    <w:rsid w:val="00E440F6"/>
    <w:rsid w:val="00E44648"/>
    <w:rsid w:val="00E45307"/>
    <w:rsid w:val="00E50574"/>
    <w:rsid w:val="00E5092A"/>
    <w:rsid w:val="00E50EE2"/>
    <w:rsid w:val="00E56311"/>
    <w:rsid w:val="00E56439"/>
    <w:rsid w:val="00E56C55"/>
    <w:rsid w:val="00E62F88"/>
    <w:rsid w:val="00E643D4"/>
    <w:rsid w:val="00E67E3D"/>
    <w:rsid w:val="00E70A07"/>
    <w:rsid w:val="00E74C04"/>
    <w:rsid w:val="00E8056C"/>
    <w:rsid w:val="00E80EC8"/>
    <w:rsid w:val="00E86A6A"/>
    <w:rsid w:val="00E91B00"/>
    <w:rsid w:val="00E93958"/>
    <w:rsid w:val="00E945A7"/>
    <w:rsid w:val="00E95484"/>
    <w:rsid w:val="00E96330"/>
    <w:rsid w:val="00E9661F"/>
    <w:rsid w:val="00EA156B"/>
    <w:rsid w:val="00EA2F68"/>
    <w:rsid w:val="00EA63DD"/>
    <w:rsid w:val="00EA6BCE"/>
    <w:rsid w:val="00EB24BD"/>
    <w:rsid w:val="00EC2123"/>
    <w:rsid w:val="00ED323A"/>
    <w:rsid w:val="00ED62F8"/>
    <w:rsid w:val="00EE57A3"/>
    <w:rsid w:val="00EE7743"/>
    <w:rsid w:val="00EF40D3"/>
    <w:rsid w:val="00EF7B5C"/>
    <w:rsid w:val="00F01072"/>
    <w:rsid w:val="00F01EED"/>
    <w:rsid w:val="00F02426"/>
    <w:rsid w:val="00F04B21"/>
    <w:rsid w:val="00F14340"/>
    <w:rsid w:val="00F26039"/>
    <w:rsid w:val="00F40EFE"/>
    <w:rsid w:val="00F41333"/>
    <w:rsid w:val="00F43518"/>
    <w:rsid w:val="00F43AF9"/>
    <w:rsid w:val="00F47B41"/>
    <w:rsid w:val="00F550C2"/>
    <w:rsid w:val="00F60C67"/>
    <w:rsid w:val="00F71580"/>
    <w:rsid w:val="00F73D3D"/>
    <w:rsid w:val="00F76AAD"/>
    <w:rsid w:val="00FA0B02"/>
    <w:rsid w:val="00FB0CD2"/>
    <w:rsid w:val="00FB3D47"/>
    <w:rsid w:val="00FC0F23"/>
    <w:rsid w:val="00FC1BA9"/>
    <w:rsid w:val="00FC34DB"/>
    <w:rsid w:val="00FC519A"/>
    <w:rsid w:val="00FC7A73"/>
    <w:rsid w:val="00FD1012"/>
    <w:rsid w:val="00FD205C"/>
    <w:rsid w:val="00FD4B92"/>
    <w:rsid w:val="00FE09C7"/>
    <w:rsid w:val="00FE1529"/>
    <w:rsid w:val="00FE4C92"/>
    <w:rsid w:val="00FE5A8F"/>
    <w:rsid w:val="00FE7319"/>
    <w:rsid w:val="00FE7CC2"/>
    <w:rsid w:val="00FF07D4"/>
    <w:rsid w:val="00FF71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3402D"/>
  <w15:chartTrackingRefBased/>
  <w15:docId w15:val="{736406A0-A574-40CD-B342-EFC6513A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CAE"/>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4EF2"/>
    <w:pPr>
      <w:tabs>
        <w:tab w:val="center" w:pos="4419"/>
        <w:tab w:val="right" w:pos="8838"/>
      </w:tabs>
    </w:pPr>
    <w:rPr>
      <w:sz w:val="22"/>
      <w:szCs w:val="22"/>
      <w:lang w:val="es-CO"/>
    </w:rPr>
  </w:style>
  <w:style w:type="character" w:customStyle="1" w:styleId="EncabezadoCar">
    <w:name w:val="Encabezado Car"/>
    <w:basedOn w:val="Fuentedeprrafopredeter"/>
    <w:link w:val="Encabezado"/>
    <w:uiPriority w:val="99"/>
    <w:rsid w:val="003F4EF2"/>
  </w:style>
  <w:style w:type="paragraph" w:styleId="Piedepgina">
    <w:name w:val="footer"/>
    <w:basedOn w:val="Normal"/>
    <w:link w:val="PiedepginaCar"/>
    <w:uiPriority w:val="99"/>
    <w:unhideWhenUsed/>
    <w:rsid w:val="003F4EF2"/>
    <w:pPr>
      <w:tabs>
        <w:tab w:val="center" w:pos="4419"/>
        <w:tab w:val="right" w:pos="8838"/>
      </w:tabs>
    </w:pPr>
    <w:rPr>
      <w:sz w:val="22"/>
      <w:szCs w:val="22"/>
      <w:lang w:val="es-CO"/>
    </w:rPr>
  </w:style>
  <w:style w:type="character" w:customStyle="1" w:styleId="PiedepginaCar">
    <w:name w:val="Pie de página Car"/>
    <w:basedOn w:val="Fuentedeprrafopredeter"/>
    <w:link w:val="Piedepgina"/>
    <w:uiPriority w:val="99"/>
    <w:rsid w:val="003F4EF2"/>
  </w:style>
  <w:style w:type="paragraph" w:styleId="Textodeglobo">
    <w:name w:val="Balloon Text"/>
    <w:basedOn w:val="Normal"/>
    <w:link w:val="TextodegloboCar"/>
    <w:uiPriority w:val="99"/>
    <w:semiHidden/>
    <w:unhideWhenUsed/>
    <w:rsid w:val="004713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1329"/>
    <w:rPr>
      <w:rFonts w:ascii="Segoe UI" w:hAnsi="Segoe UI" w:cs="Segoe UI"/>
      <w:sz w:val="18"/>
      <w:szCs w:val="18"/>
    </w:rPr>
  </w:style>
  <w:style w:type="table" w:styleId="Tablaconcuadrcula">
    <w:name w:val="Table Grid"/>
    <w:basedOn w:val="Tablanormal"/>
    <w:uiPriority w:val="39"/>
    <w:rsid w:val="00103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2313B"/>
    <w:pPr>
      <w:ind w:left="720"/>
      <w:contextualSpacing/>
    </w:pPr>
  </w:style>
  <w:style w:type="paragraph" w:styleId="NormalWeb">
    <w:name w:val="Normal (Web)"/>
    <w:basedOn w:val="Normal"/>
    <w:uiPriority w:val="99"/>
    <w:semiHidden/>
    <w:unhideWhenUsed/>
    <w:rsid w:val="003E134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3295">
      <w:bodyDiv w:val="1"/>
      <w:marLeft w:val="0"/>
      <w:marRight w:val="0"/>
      <w:marTop w:val="0"/>
      <w:marBottom w:val="0"/>
      <w:divBdr>
        <w:top w:val="none" w:sz="0" w:space="0" w:color="auto"/>
        <w:left w:val="none" w:sz="0" w:space="0" w:color="auto"/>
        <w:bottom w:val="none" w:sz="0" w:space="0" w:color="auto"/>
        <w:right w:val="none" w:sz="0" w:space="0" w:color="auto"/>
      </w:divBdr>
    </w:div>
    <w:div w:id="47269588">
      <w:bodyDiv w:val="1"/>
      <w:marLeft w:val="0"/>
      <w:marRight w:val="0"/>
      <w:marTop w:val="0"/>
      <w:marBottom w:val="0"/>
      <w:divBdr>
        <w:top w:val="none" w:sz="0" w:space="0" w:color="auto"/>
        <w:left w:val="none" w:sz="0" w:space="0" w:color="auto"/>
        <w:bottom w:val="none" w:sz="0" w:space="0" w:color="auto"/>
        <w:right w:val="none" w:sz="0" w:space="0" w:color="auto"/>
      </w:divBdr>
    </w:div>
    <w:div w:id="782578006">
      <w:bodyDiv w:val="1"/>
      <w:marLeft w:val="0"/>
      <w:marRight w:val="0"/>
      <w:marTop w:val="0"/>
      <w:marBottom w:val="0"/>
      <w:divBdr>
        <w:top w:val="none" w:sz="0" w:space="0" w:color="auto"/>
        <w:left w:val="none" w:sz="0" w:space="0" w:color="auto"/>
        <w:bottom w:val="none" w:sz="0" w:space="0" w:color="auto"/>
        <w:right w:val="none" w:sz="0" w:space="0" w:color="auto"/>
      </w:divBdr>
    </w:div>
    <w:div w:id="897940555">
      <w:bodyDiv w:val="1"/>
      <w:marLeft w:val="0"/>
      <w:marRight w:val="0"/>
      <w:marTop w:val="0"/>
      <w:marBottom w:val="0"/>
      <w:divBdr>
        <w:top w:val="none" w:sz="0" w:space="0" w:color="auto"/>
        <w:left w:val="none" w:sz="0" w:space="0" w:color="auto"/>
        <w:bottom w:val="none" w:sz="0" w:space="0" w:color="auto"/>
        <w:right w:val="none" w:sz="0" w:space="0" w:color="auto"/>
      </w:divBdr>
    </w:div>
    <w:div w:id="922297924">
      <w:bodyDiv w:val="1"/>
      <w:marLeft w:val="0"/>
      <w:marRight w:val="0"/>
      <w:marTop w:val="0"/>
      <w:marBottom w:val="0"/>
      <w:divBdr>
        <w:top w:val="none" w:sz="0" w:space="0" w:color="auto"/>
        <w:left w:val="none" w:sz="0" w:space="0" w:color="auto"/>
        <w:bottom w:val="none" w:sz="0" w:space="0" w:color="auto"/>
        <w:right w:val="none" w:sz="0" w:space="0" w:color="auto"/>
      </w:divBdr>
    </w:div>
    <w:div w:id="1392312882">
      <w:bodyDiv w:val="1"/>
      <w:marLeft w:val="0"/>
      <w:marRight w:val="0"/>
      <w:marTop w:val="0"/>
      <w:marBottom w:val="0"/>
      <w:divBdr>
        <w:top w:val="none" w:sz="0" w:space="0" w:color="auto"/>
        <w:left w:val="none" w:sz="0" w:space="0" w:color="auto"/>
        <w:bottom w:val="none" w:sz="0" w:space="0" w:color="auto"/>
        <w:right w:val="none" w:sz="0" w:space="0" w:color="auto"/>
      </w:divBdr>
    </w:div>
    <w:div w:id="1462724133">
      <w:bodyDiv w:val="1"/>
      <w:marLeft w:val="0"/>
      <w:marRight w:val="0"/>
      <w:marTop w:val="0"/>
      <w:marBottom w:val="0"/>
      <w:divBdr>
        <w:top w:val="none" w:sz="0" w:space="0" w:color="auto"/>
        <w:left w:val="none" w:sz="0" w:space="0" w:color="auto"/>
        <w:bottom w:val="none" w:sz="0" w:space="0" w:color="auto"/>
        <w:right w:val="none" w:sz="0" w:space="0" w:color="auto"/>
      </w:divBdr>
    </w:div>
    <w:div w:id="1619221937">
      <w:bodyDiv w:val="1"/>
      <w:marLeft w:val="0"/>
      <w:marRight w:val="0"/>
      <w:marTop w:val="0"/>
      <w:marBottom w:val="0"/>
      <w:divBdr>
        <w:top w:val="none" w:sz="0" w:space="0" w:color="auto"/>
        <w:left w:val="none" w:sz="0" w:space="0" w:color="auto"/>
        <w:bottom w:val="none" w:sz="0" w:space="0" w:color="auto"/>
        <w:right w:val="none" w:sz="0" w:space="0" w:color="auto"/>
      </w:divBdr>
    </w:div>
    <w:div w:id="1819615726">
      <w:bodyDiv w:val="1"/>
      <w:marLeft w:val="0"/>
      <w:marRight w:val="0"/>
      <w:marTop w:val="0"/>
      <w:marBottom w:val="0"/>
      <w:divBdr>
        <w:top w:val="none" w:sz="0" w:space="0" w:color="auto"/>
        <w:left w:val="none" w:sz="0" w:space="0" w:color="auto"/>
        <w:bottom w:val="none" w:sz="0" w:space="0" w:color="auto"/>
        <w:right w:val="none" w:sz="0" w:space="0" w:color="auto"/>
      </w:divBdr>
    </w:div>
    <w:div w:id="1848057801">
      <w:bodyDiv w:val="1"/>
      <w:marLeft w:val="0"/>
      <w:marRight w:val="0"/>
      <w:marTop w:val="0"/>
      <w:marBottom w:val="0"/>
      <w:divBdr>
        <w:top w:val="none" w:sz="0" w:space="0" w:color="auto"/>
        <w:left w:val="none" w:sz="0" w:space="0" w:color="auto"/>
        <w:bottom w:val="none" w:sz="0" w:space="0" w:color="auto"/>
        <w:right w:val="none" w:sz="0" w:space="0" w:color="auto"/>
      </w:divBdr>
    </w:div>
    <w:div w:id="187492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charts/_rels/chart1.xml.rels><?xml version="1.0" encoding="UTF-8" standalone="yes"?>
<Relationships xmlns="http://schemas.openxmlformats.org/package/2006/relationships"><Relationship Id="rId3" Type="http://schemas.openxmlformats.org/officeDocument/2006/relationships/oleObject" Target="https://acuerdode.sharepoint.com/sites/130_SubAdmin_fin/130_Gestion_Ambiental/Ambiental%202024/Seguimiento%202025/Gesti&#243;n%20ambiental%202025/Gesti&#243;n%20de%20residuos/Residuos%20s&#243;lido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100" b="1" i="0" u="none" strike="noStrike" kern="1200" cap="all" spc="150" baseline="0">
                <a:solidFill>
                  <a:schemeClr val="tx1">
                    <a:lumMod val="50000"/>
                    <a:lumOff val="50000"/>
                  </a:schemeClr>
                </a:solidFill>
                <a:latin typeface="+mn-lt"/>
                <a:ea typeface="+mn-ea"/>
                <a:cs typeface="+mn-cs"/>
              </a:defRPr>
            </a:pPr>
            <a:r>
              <a:rPr lang="es-CO" sz="1100"/>
              <a:t>KG Residuos Aprovechables 2025</a:t>
            </a:r>
          </a:p>
        </c:rich>
      </c:tx>
      <c:layout>
        <c:manualLayout>
          <c:xMode val="edge"/>
          <c:yMode val="edge"/>
          <c:x val="0.11034689629313579"/>
          <c:y val="2.1940696074700696E-2"/>
        </c:manualLayout>
      </c:layout>
      <c:overlay val="0"/>
      <c:spPr>
        <a:noFill/>
        <a:ln>
          <a:noFill/>
        </a:ln>
        <a:effectLst/>
      </c:spPr>
      <c:txPr>
        <a:bodyPr rot="0" spcFirstLastPara="1" vertOverflow="ellipsis" vert="horz" wrap="square" anchor="ctr" anchorCtr="1"/>
        <a:lstStyle/>
        <a:p>
          <a:pPr>
            <a:defRPr sz="11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manualLayout>
          <c:layoutTarget val="inner"/>
          <c:xMode val="edge"/>
          <c:yMode val="edge"/>
          <c:x val="7.9878673484240242E-2"/>
          <c:y val="0.10563888447661619"/>
          <c:w val="0.90581005639053613"/>
          <c:h val="0.75012537930899903"/>
        </c:manualLayout>
      </c:layout>
      <c:barChart>
        <c:barDir val="col"/>
        <c:grouping val="clustered"/>
        <c:varyColors val="0"/>
        <c:ser>
          <c:idx val="0"/>
          <c:order val="0"/>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Aprovechables!$J$1:$J$7</c:f>
              <c:strCache>
                <c:ptCount val="7"/>
                <c:pt idx="0">
                  <c:v>Enero</c:v>
                </c:pt>
                <c:pt idx="1">
                  <c:v>Febrero</c:v>
                </c:pt>
                <c:pt idx="2">
                  <c:v>Marzo</c:v>
                </c:pt>
                <c:pt idx="3">
                  <c:v>Abril</c:v>
                </c:pt>
                <c:pt idx="4">
                  <c:v>Junio</c:v>
                </c:pt>
                <c:pt idx="5">
                  <c:v>Agosto</c:v>
                </c:pt>
                <c:pt idx="6">
                  <c:v>Septiembre</c:v>
                </c:pt>
              </c:strCache>
            </c:strRef>
          </c:cat>
          <c:val>
            <c:numRef>
              <c:f>Aprovechables!$K$1:$K$7</c:f>
              <c:numCache>
                <c:formatCode>General</c:formatCode>
                <c:ptCount val="7"/>
                <c:pt idx="0">
                  <c:v>337.9</c:v>
                </c:pt>
                <c:pt idx="1">
                  <c:v>566.4</c:v>
                </c:pt>
                <c:pt idx="2">
                  <c:v>92.8</c:v>
                </c:pt>
                <c:pt idx="3">
                  <c:v>92.5</c:v>
                </c:pt>
                <c:pt idx="4">
                  <c:v>107.5</c:v>
                </c:pt>
                <c:pt idx="5">
                  <c:v>94</c:v>
                </c:pt>
                <c:pt idx="6">
                  <c:v>152.30000000000001</c:v>
                </c:pt>
              </c:numCache>
            </c:numRef>
          </c:val>
          <c:extLst>
            <c:ext xmlns:c16="http://schemas.microsoft.com/office/drawing/2014/chart" uri="{C3380CC4-5D6E-409C-BE32-E72D297353CC}">
              <c16:uniqueId val="{00000000-6BF5-443A-9CBE-53BD94814DD3}"/>
            </c:ext>
          </c:extLst>
        </c:ser>
        <c:dLbls>
          <c:dLblPos val="outEnd"/>
          <c:showLegendKey val="0"/>
          <c:showVal val="1"/>
          <c:showCatName val="0"/>
          <c:showSerName val="0"/>
          <c:showPercent val="0"/>
          <c:showBubbleSize val="0"/>
        </c:dLbls>
        <c:gapWidth val="164"/>
        <c:overlap val="-22"/>
        <c:axId val="1385374096"/>
        <c:axId val="1385395696"/>
      </c:barChart>
      <c:catAx>
        <c:axId val="138537409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85395696"/>
        <c:crosses val="autoZero"/>
        <c:auto val="1"/>
        <c:lblAlgn val="ctr"/>
        <c:lblOffset val="100"/>
        <c:noMultiLvlLbl val="0"/>
      </c:catAx>
      <c:valAx>
        <c:axId val="13853956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853740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3940dc-f504-47a5-9b03-b03b99134e0f">
      <Terms xmlns="http://schemas.microsoft.com/office/infopath/2007/PartnerControls"/>
    </lcf76f155ced4ddcb4097134ff3c332f>
    <TaxCatchAll xmlns="c9694517-d960-4f0f-bd3c-b53c95d947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70A509B9488DF47AFEC35CCC3BA772E" ma:contentTypeVersion="10" ma:contentTypeDescription="Crear nuevo documento." ma:contentTypeScope="" ma:versionID="4907d7aaf335b0c30c29fa00d4a9e18d">
  <xsd:schema xmlns:xsd="http://www.w3.org/2001/XMLSchema" xmlns:xs="http://www.w3.org/2001/XMLSchema" xmlns:p="http://schemas.microsoft.com/office/2006/metadata/properties" xmlns:ns2="e63940dc-f504-47a5-9b03-b03b99134e0f" xmlns:ns3="c9694517-d960-4f0f-bd3c-b53c95d9471a" targetNamespace="http://schemas.microsoft.com/office/2006/metadata/properties" ma:root="true" ma:fieldsID="1b9da3b9ae8a432a890ae4c4b1395137" ns2:_="" ns3:_="">
    <xsd:import namespace="e63940dc-f504-47a5-9b03-b03b99134e0f"/>
    <xsd:import namespace="c9694517-d960-4f0f-bd3c-b53c95d947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940dc-f504-47a5-9b03-b03b99134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6a1990f5-df22-43ad-861a-3b1f922229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694517-d960-4f0f-bd3c-b53c95d9471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cebafb-a708-4b33-94d6-26e90a74cd72}" ma:internalName="TaxCatchAll" ma:showField="CatchAllData" ma:web="c9694517-d960-4f0f-bd3c-b53c95d94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139EE-BC7E-4E3E-AC0B-96E77A23F015}">
  <ds:schemaRefs>
    <ds:schemaRef ds:uri="http://schemas.openxmlformats.org/officeDocument/2006/bibliography"/>
  </ds:schemaRefs>
</ds:datastoreItem>
</file>

<file path=customXml/itemProps2.xml><?xml version="1.0" encoding="utf-8"?>
<ds:datastoreItem xmlns:ds="http://schemas.openxmlformats.org/officeDocument/2006/customXml" ds:itemID="{5F29B721-CD5B-4835-BCDD-904D7F48247B}">
  <ds:schemaRefs>
    <ds:schemaRef ds:uri="http://schemas.microsoft.com/sharepoint/v3/contenttype/forms"/>
  </ds:schemaRefs>
</ds:datastoreItem>
</file>

<file path=customXml/itemProps3.xml><?xml version="1.0" encoding="utf-8"?>
<ds:datastoreItem xmlns:ds="http://schemas.openxmlformats.org/officeDocument/2006/customXml" ds:itemID="{860CBFD9-CD03-4AF2-AE76-00D6465F328A}">
  <ds:schemaRefs>
    <ds:schemaRef ds:uri="http://schemas.microsoft.com/office/2006/metadata/properties"/>
    <ds:schemaRef ds:uri="http://schemas.microsoft.com/office/infopath/2007/PartnerControls"/>
    <ds:schemaRef ds:uri="e63940dc-f504-47a5-9b03-b03b99134e0f"/>
    <ds:schemaRef ds:uri="c9694517-d960-4f0f-bd3c-b53c95d9471a"/>
  </ds:schemaRefs>
</ds:datastoreItem>
</file>

<file path=customXml/itemProps4.xml><?xml version="1.0" encoding="utf-8"?>
<ds:datastoreItem xmlns:ds="http://schemas.openxmlformats.org/officeDocument/2006/customXml" ds:itemID="{0F37346D-DE9E-4834-8D64-B479C4312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940dc-f504-47a5-9b03-b03b99134e0f"/>
    <ds:schemaRef ds:uri="c9694517-d960-4f0f-bd3c-b53c95d94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9</Pages>
  <Words>1761</Words>
  <Characters>10164</Characters>
  <Application>Microsoft Office Word</Application>
  <DocSecurity>0</DocSecurity>
  <Lines>290</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dc:creator>
  <cp:keywords/>
  <dc:description/>
  <cp:lastModifiedBy>Ana Patricia Pineda</cp:lastModifiedBy>
  <cp:revision>88</cp:revision>
  <cp:lastPrinted>2025-10-27T13:14:00Z</cp:lastPrinted>
  <dcterms:created xsi:type="dcterms:W3CDTF">2025-10-22T19:43:00Z</dcterms:created>
  <dcterms:modified xsi:type="dcterms:W3CDTF">2025-10-27T13:18:00Z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0x010100170A509B9488DF47AFEC35CCC3BA772E</vt:lpwstr>
  </property>
  <property fmtid="{D5CDD505-2E9C-101B-9397-08002B2CF9AE}" pid="3" name="MediaServiceImageTags">
    <vt:lpwstr/>
  </property>
</Properties>
</file>